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隶书" w:hAnsi="宋体" w:eastAsia="隶书"/>
          <w:bCs/>
          <w:color w:val="000000"/>
          <w:sz w:val="36"/>
          <w:szCs w:val="36"/>
        </w:rPr>
      </w:pPr>
      <w:r>
        <w:rPr>
          <w:rFonts w:hint="eastAsia" w:ascii="隶书" w:hAnsi="宋体" w:eastAsia="隶书"/>
          <w:bCs/>
          <w:color w:val="000000"/>
          <w:sz w:val="36"/>
          <w:szCs w:val="36"/>
        </w:rPr>
        <w:t>管理体系审核记录表</w:t>
      </w:r>
    </w:p>
    <w:tbl>
      <w:tblPr>
        <w:tblStyle w:val="12"/>
        <w:tblW w:w="14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
        <w:gridCol w:w="2174"/>
        <w:gridCol w:w="14"/>
        <w:gridCol w:w="922"/>
        <w:gridCol w:w="745"/>
        <w:gridCol w:w="9523"/>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515" w:hRule="atLeast"/>
        </w:trPr>
        <w:tc>
          <w:tcPr>
            <w:tcW w:w="2174" w:type="dxa"/>
            <w:vMerge w:val="restart"/>
            <w:vAlign w:val="center"/>
          </w:tcPr>
          <w:p>
            <w:pPr>
              <w:spacing w:before="120"/>
              <w:jc w:val="center"/>
              <w:rPr>
                <w:sz w:val="24"/>
                <w:szCs w:val="24"/>
              </w:rPr>
            </w:pPr>
            <w:r>
              <w:rPr>
                <w:sz w:val="24"/>
                <w:szCs w:val="24"/>
              </w:rPr>
              <w:t>过程与活动、</w:t>
            </w:r>
          </w:p>
          <w:p>
            <w:pPr>
              <w:jc w:val="center"/>
            </w:pPr>
            <w:r>
              <w:rPr>
                <w:sz w:val="24"/>
                <w:szCs w:val="24"/>
              </w:rPr>
              <w:t>抽样计划</w:t>
            </w:r>
          </w:p>
        </w:tc>
        <w:tc>
          <w:tcPr>
            <w:tcW w:w="936" w:type="dxa"/>
            <w:gridSpan w:val="2"/>
            <w:vMerge w:val="restart"/>
            <w:vAlign w:val="center"/>
          </w:tcPr>
          <w:p>
            <w:pPr>
              <w:rPr>
                <w:sz w:val="24"/>
                <w:szCs w:val="24"/>
              </w:rPr>
            </w:pPr>
            <w:r>
              <w:rPr>
                <w:sz w:val="24"/>
                <w:szCs w:val="24"/>
              </w:rPr>
              <w:t>涉及</w:t>
            </w:r>
          </w:p>
          <w:p>
            <w:r>
              <w:rPr>
                <w:sz w:val="24"/>
                <w:szCs w:val="24"/>
              </w:rPr>
              <w:t>条款</w:t>
            </w:r>
          </w:p>
        </w:tc>
        <w:tc>
          <w:tcPr>
            <w:tcW w:w="10268" w:type="dxa"/>
            <w:gridSpan w:val="2"/>
            <w:vAlign w:val="center"/>
          </w:tcPr>
          <w:p>
            <w:pPr>
              <w:rPr>
                <w:sz w:val="24"/>
                <w:szCs w:val="24"/>
              </w:rPr>
            </w:pPr>
            <w:r>
              <w:rPr>
                <w:sz w:val="24"/>
                <w:szCs w:val="24"/>
              </w:rPr>
              <w:t xml:space="preserve">受审核部门：食品安全小组         </w:t>
            </w:r>
            <w:r>
              <w:rPr>
                <w:color w:val="000000"/>
                <w:sz w:val="24"/>
                <w:szCs w:val="24"/>
              </w:rPr>
              <w:t>主管领导：</w:t>
            </w:r>
            <w:r>
              <w:rPr>
                <w:rFonts w:hint="eastAsia"/>
                <w:color w:val="000000"/>
                <w:sz w:val="24"/>
                <w:szCs w:val="24"/>
              </w:rPr>
              <w:t xml:space="preserve">贾正武   </w:t>
            </w:r>
            <w:r>
              <w:rPr>
                <w:color w:val="000000"/>
                <w:sz w:val="24"/>
                <w:szCs w:val="24"/>
              </w:rPr>
              <w:t xml:space="preserve">  陪同人员：</w:t>
            </w:r>
            <w:r>
              <w:rPr>
                <w:rFonts w:hint="eastAsia"/>
                <w:color w:val="000000"/>
                <w:sz w:val="24"/>
                <w:szCs w:val="24"/>
              </w:rPr>
              <w:t>张芮</w:t>
            </w:r>
          </w:p>
        </w:tc>
        <w:tc>
          <w:tcPr>
            <w:tcW w:w="1290" w:type="dxa"/>
            <w:vMerge w:val="restart"/>
            <w:vAlign w:val="center"/>
          </w:tcPr>
          <w:p>
            <w:pPr>
              <w:rPr>
                <w:sz w:val="24"/>
                <w:szCs w:val="24"/>
              </w:rPr>
            </w:pPr>
            <w:r>
              <w:rPr>
                <w:sz w:val="24"/>
                <w:szCs w:val="24"/>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03" w:hRule="atLeast"/>
        </w:trPr>
        <w:tc>
          <w:tcPr>
            <w:tcW w:w="2174" w:type="dxa"/>
            <w:vMerge w:val="continue"/>
            <w:vAlign w:val="center"/>
          </w:tcPr>
          <w:p/>
        </w:tc>
        <w:tc>
          <w:tcPr>
            <w:tcW w:w="936" w:type="dxa"/>
            <w:gridSpan w:val="2"/>
            <w:vMerge w:val="continue"/>
            <w:vAlign w:val="center"/>
          </w:tcPr>
          <w:p/>
        </w:tc>
        <w:tc>
          <w:tcPr>
            <w:tcW w:w="10268" w:type="dxa"/>
            <w:gridSpan w:val="2"/>
            <w:vAlign w:val="center"/>
          </w:tcPr>
          <w:p>
            <w:pPr>
              <w:spacing w:before="120"/>
            </w:pPr>
            <w:r>
              <w:rPr>
                <w:sz w:val="24"/>
                <w:szCs w:val="24"/>
              </w:rPr>
              <w:t>审核员：</w:t>
            </w:r>
            <w:r>
              <w:rPr>
                <w:rFonts w:hint="eastAsia"/>
                <w:sz w:val="24"/>
                <w:szCs w:val="24"/>
              </w:rPr>
              <w:t>任泽华</w:t>
            </w:r>
            <w:r>
              <w:rPr>
                <w:sz w:val="24"/>
                <w:szCs w:val="24"/>
              </w:rPr>
              <w:t xml:space="preserve"> </w:t>
            </w:r>
            <w:r>
              <w:rPr>
                <w:rFonts w:hint="eastAsia"/>
                <w:sz w:val="24"/>
                <w:szCs w:val="24"/>
              </w:rPr>
              <w:t xml:space="preserve">     </w:t>
            </w:r>
            <w:r>
              <w:rPr>
                <w:sz w:val="24"/>
                <w:szCs w:val="24"/>
              </w:rPr>
              <w:t xml:space="preserve">   审核日期：2022-10</w:t>
            </w:r>
            <w:r>
              <w:rPr>
                <w:rFonts w:hint="eastAsia"/>
                <w:sz w:val="24"/>
                <w:szCs w:val="24"/>
              </w:rPr>
              <w:t>-</w:t>
            </w:r>
            <w:r>
              <w:rPr>
                <w:sz w:val="24"/>
                <w:szCs w:val="24"/>
              </w:rPr>
              <w:t>26</w:t>
            </w:r>
          </w:p>
        </w:tc>
        <w:tc>
          <w:tcPr>
            <w:tcW w:w="1290"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516" w:hRule="atLeast"/>
        </w:trPr>
        <w:tc>
          <w:tcPr>
            <w:tcW w:w="2174" w:type="dxa"/>
            <w:vMerge w:val="continue"/>
            <w:vAlign w:val="center"/>
          </w:tcPr>
          <w:p/>
        </w:tc>
        <w:tc>
          <w:tcPr>
            <w:tcW w:w="936" w:type="dxa"/>
            <w:gridSpan w:val="2"/>
            <w:vMerge w:val="continue"/>
            <w:vAlign w:val="center"/>
          </w:tcPr>
          <w:p/>
        </w:tc>
        <w:tc>
          <w:tcPr>
            <w:tcW w:w="10268" w:type="dxa"/>
            <w:gridSpan w:val="2"/>
            <w:vAlign w:val="center"/>
          </w:tcPr>
          <w:p>
            <w:pPr>
              <w:tabs>
                <w:tab w:val="left" w:pos="6030"/>
              </w:tabs>
              <w:autoSpaceDE w:val="0"/>
              <w:autoSpaceDN w:val="0"/>
              <w:adjustRightInd w:val="0"/>
              <w:jc w:val="left"/>
            </w:pPr>
            <w:r>
              <w:t>审核条款：FSMS:5.3/7.1.5/8.1/8.2/8.3/8.4/8.5/8.6/8.8</w:t>
            </w:r>
            <w:r>
              <w:rPr>
                <w:rFonts w:hint="eastAsia"/>
              </w:rPr>
              <w:t>/8.9.5（远程：微信、腾讯会议、电话等）</w:t>
            </w:r>
          </w:p>
        </w:tc>
        <w:tc>
          <w:tcPr>
            <w:tcW w:w="1290"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43" w:hRule="atLeast"/>
        </w:trPr>
        <w:tc>
          <w:tcPr>
            <w:tcW w:w="2174" w:type="dxa"/>
            <w:vMerge w:val="restart"/>
          </w:tcPr>
          <w:p>
            <w:r>
              <w:t>组织的角色、职责和权限</w:t>
            </w:r>
          </w:p>
        </w:tc>
        <w:tc>
          <w:tcPr>
            <w:tcW w:w="936" w:type="dxa"/>
            <w:gridSpan w:val="2"/>
            <w:vMerge w:val="restart"/>
          </w:tcPr>
          <w:p>
            <w:r>
              <w:t>F5.3</w:t>
            </w:r>
          </w:p>
        </w:tc>
        <w:tc>
          <w:tcPr>
            <w:tcW w:w="745" w:type="dxa"/>
          </w:tcPr>
          <w:p>
            <w:r>
              <w:t>文件名称</w:t>
            </w:r>
          </w:p>
        </w:tc>
        <w:tc>
          <w:tcPr>
            <w:tcW w:w="9523" w:type="dxa"/>
          </w:tcPr>
          <w:p>
            <w:r>
              <w:t>如：</w:t>
            </w:r>
            <w:r>
              <w:fldChar w:fldCharType="begin"/>
            </w:r>
            <w:r>
              <w:instrText xml:space="preserve"> eq \o\ac(□</w:instrText>
            </w:r>
            <w:r>
              <w:rPr>
                <w:rFonts w:hint="eastAsia"/>
              </w:rPr>
              <w:instrText xml:space="preserve">,√</w:instrText>
            </w:r>
            <w:r>
              <w:instrText xml:space="preserve">)</w:instrText>
            </w:r>
            <w:r>
              <w:fldChar w:fldCharType="end"/>
            </w:r>
            <w:r>
              <w:t>管理手册第5.3章</w:t>
            </w:r>
          </w:p>
        </w:tc>
        <w:tc>
          <w:tcPr>
            <w:tcW w:w="1290" w:type="dxa"/>
            <w:vMerge w:val="restart"/>
          </w:tcPr>
          <w:p>
            <w:r>
              <w:fldChar w:fldCharType="begin"/>
            </w:r>
            <w:r>
              <w:instrText xml:space="preserve"> eq \o\ac(□</w:instrText>
            </w:r>
            <w:r>
              <w:rPr>
                <w:rFonts w:hint="eastAsia"/>
              </w:rPr>
              <w:instrText xml:space="preserve">,√</w:instrText>
            </w:r>
            <w:r>
              <w:instrText xml:space="preserve">)</w:instrText>
            </w:r>
            <w:r>
              <w:fldChar w:fldCharType="end"/>
            </w:r>
            <w:r>
              <w:t>符合</w:t>
            </w:r>
          </w:p>
          <w:p>
            <w:r>
              <w:fldChar w:fldCharType="begin"/>
            </w:r>
            <w:r>
              <w:instrText xml:space="preserve"> eq \o\ac(□)</w:instrText>
            </w:r>
            <w:r>
              <w:fldChar w:fldCharType="end"/>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2900" w:hRule="atLeast"/>
        </w:trPr>
        <w:tc>
          <w:tcPr>
            <w:tcW w:w="2174" w:type="dxa"/>
            <w:vMerge w:val="continue"/>
          </w:tcPr>
          <w:p/>
        </w:tc>
        <w:tc>
          <w:tcPr>
            <w:tcW w:w="936" w:type="dxa"/>
            <w:gridSpan w:val="2"/>
            <w:vMerge w:val="continue"/>
          </w:tcPr>
          <w:p/>
        </w:tc>
        <w:tc>
          <w:tcPr>
            <w:tcW w:w="745" w:type="dxa"/>
          </w:tcPr>
          <w:p>
            <w:r>
              <w:t>运行证据</w:t>
            </w:r>
          </w:p>
        </w:tc>
        <w:tc>
          <w:tcPr>
            <w:tcW w:w="9523" w:type="dxa"/>
          </w:tcPr>
          <w:p>
            <w:r>
              <w:t>有食品安全小组名单，包括了</w:t>
            </w:r>
            <w:r>
              <w:rPr>
                <w:rFonts w:hint="eastAsia"/>
              </w:rPr>
              <w:t xml:space="preserve"> </w:t>
            </w:r>
            <w:r>
              <w:rPr>
                <w:rFonts w:hint="eastAsia"/>
                <w:bCs/>
                <w:u w:val="single"/>
              </w:rPr>
              <w:t xml:space="preserve">行政部、生产部、品管部、采购部、销售部 </w:t>
            </w:r>
            <w:r>
              <w:t>的人员</w:t>
            </w:r>
          </w:p>
          <w:p>
            <w:r>
              <w:t>公司在手册和《</w:t>
            </w:r>
            <w:r>
              <w:rPr>
                <w:rFonts w:hint="eastAsia"/>
              </w:rPr>
              <w:t>危害控制</w:t>
            </w:r>
            <w:r>
              <w:t>计划》中对食品安全小组的职责进行了规定，主要负责做好食品安全策划、危害分析预备工作、危害分析、确定控制措施（包括HACCP计划和OPRP等），对控制措施进行确认和验证等。通过会议、文件等方式进行传达，询问食品安全小组成员</w:t>
            </w:r>
            <w:r>
              <w:rPr>
                <w:rFonts w:hint="eastAsia" w:ascii="宋体" w:hAnsi="宋体"/>
                <w:szCs w:val="21"/>
                <w:u w:val="single"/>
              </w:rPr>
              <w:t xml:space="preserve">贾正武 </w:t>
            </w:r>
            <w:r>
              <w:t>，基本清楚。</w:t>
            </w:r>
          </w:p>
          <w:p>
            <w:pPr>
              <w:pStyle w:val="11"/>
              <w:rPr>
                <w:rFonts w:ascii="Times New Roman" w:hAnsi="Times New Roman"/>
              </w:rPr>
            </w:pPr>
          </w:p>
          <w:p>
            <w:r>
              <w:fldChar w:fldCharType="begin"/>
            </w:r>
            <w:r>
              <w:instrText xml:space="preserve"> eq \o\ac(□,√)</w:instrText>
            </w:r>
            <w:r>
              <w:fldChar w:fldCharType="end"/>
            </w:r>
            <w:r>
              <w:rPr>
                <w:rFonts w:hint="eastAsia"/>
              </w:rPr>
              <w:t>食品安全</w:t>
            </w:r>
            <w:r>
              <w:t>小组长：</w:t>
            </w:r>
            <w:r>
              <w:rPr>
                <w:rFonts w:hint="eastAsia"/>
                <w:u w:val="single"/>
              </w:rPr>
              <w:t>贾正武 先生</w:t>
            </w:r>
            <w:r>
              <w:rPr>
                <w:u w:val="single"/>
              </w:rPr>
              <w:t xml:space="preserve">    </w:t>
            </w:r>
            <w:r>
              <w:t>，</w:t>
            </w:r>
          </w:p>
          <w:p/>
          <w:p>
            <w:r>
              <w:t>食品安全组长负责：</w:t>
            </w:r>
          </w:p>
          <w:p>
            <w:r>
              <w:fldChar w:fldCharType="begin"/>
            </w:r>
            <w:r>
              <w:instrText xml:space="preserve"> eq \o\ac(□,√)</w:instrText>
            </w:r>
            <w:r>
              <w:fldChar w:fldCharType="end"/>
            </w:r>
            <w:r>
              <w:t xml:space="preserve">  确保FSMS的建立、实施、维护和更新；</w:t>
            </w:r>
          </w:p>
          <w:p>
            <w:r>
              <w:fldChar w:fldCharType="begin"/>
            </w:r>
            <w:r>
              <w:instrText xml:space="preserve"> eq \o\ac(□,√)</w:instrText>
            </w:r>
            <w:r>
              <w:fldChar w:fldCharType="end"/>
            </w:r>
            <w:r>
              <w:t xml:space="preserve">  管理和组织食品安全小组的工作；</w:t>
            </w:r>
          </w:p>
          <w:p>
            <w:r>
              <w:fldChar w:fldCharType="begin"/>
            </w:r>
            <w:r>
              <w:instrText xml:space="preserve"> eq \o\ac(□,√)</w:instrText>
            </w:r>
            <w:r>
              <w:fldChar w:fldCharType="end"/>
            </w:r>
            <w:r>
              <w:t xml:space="preserve">  确保食品安全团队的相关培训和能力；</w:t>
            </w:r>
          </w:p>
          <w:p>
            <w:r>
              <w:fldChar w:fldCharType="begin"/>
            </w:r>
            <w:r>
              <w:instrText xml:space="preserve"> eq \o\ac(□,√)</w:instrText>
            </w:r>
            <w:r>
              <w:fldChar w:fldCharType="end"/>
            </w:r>
            <w:r>
              <w:t xml:space="preserve">  向最高管理层报告FSMS的有效性和适宜性。</w:t>
            </w:r>
          </w:p>
          <w:p/>
          <w:p>
            <w:r>
              <w:t>所有人员有责任向</w:t>
            </w:r>
            <w:r>
              <w:fldChar w:fldCharType="begin"/>
            </w:r>
            <w:r>
              <w:instrText xml:space="preserve"> eq \o\ac(□,√)</w:instrText>
            </w:r>
            <w:r>
              <w:fldChar w:fldCharType="end"/>
            </w:r>
            <w:r>
              <w:t>食品安全</w:t>
            </w:r>
            <w:r>
              <w:rPr>
                <w:rFonts w:hint="eastAsia"/>
              </w:rPr>
              <w:t>小组</w:t>
            </w:r>
            <w:r>
              <w:t xml:space="preserve">组长 </w:t>
            </w:r>
            <w:r>
              <w:rPr/>
              <w:sym w:font="Wingdings" w:char="00A8"/>
            </w:r>
            <w:r>
              <w:t>食品安全小组成员 报告与FSMS有关的问题</w:t>
            </w:r>
          </w:p>
        </w:tc>
        <w:tc>
          <w:tcPr>
            <w:tcW w:w="1290"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615" w:hRule="atLeast"/>
        </w:trPr>
        <w:tc>
          <w:tcPr>
            <w:tcW w:w="2174" w:type="dxa"/>
            <w:vMerge w:val="restart"/>
            <w:shd w:val="clear" w:color="auto" w:fill="auto"/>
          </w:tcPr>
          <w:p>
            <w:r>
              <w:t>食品安全管理体系外部建立的要素</w:t>
            </w:r>
          </w:p>
        </w:tc>
        <w:tc>
          <w:tcPr>
            <w:tcW w:w="936" w:type="dxa"/>
            <w:gridSpan w:val="2"/>
            <w:vMerge w:val="restart"/>
            <w:shd w:val="clear" w:color="auto" w:fill="auto"/>
          </w:tcPr>
          <w:p>
            <w:r>
              <w:rPr>
                <w:rFonts w:hint="eastAsia"/>
                <w:color w:val="000000"/>
                <w:szCs w:val="21"/>
              </w:rPr>
              <w:t>F7.1.5</w:t>
            </w:r>
          </w:p>
        </w:tc>
        <w:tc>
          <w:tcPr>
            <w:tcW w:w="745" w:type="dxa"/>
            <w:shd w:val="clear" w:color="auto" w:fill="auto"/>
          </w:tcPr>
          <w:p>
            <w:r>
              <w:rPr>
                <w:rFonts w:hint="eastAsia"/>
              </w:rPr>
              <w:t>文件名称</w:t>
            </w:r>
          </w:p>
        </w:tc>
        <w:tc>
          <w:tcPr>
            <w:tcW w:w="9523" w:type="dxa"/>
            <w:shd w:val="clear" w:color="auto" w:fill="auto"/>
          </w:tcPr>
          <w:p>
            <w:r>
              <w:rPr>
                <w:rFonts w:hint="eastAsia"/>
              </w:rPr>
              <w:t>如：</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手册第</w:t>
            </w:r>
            <w:r>
              <w:rPr>
                <w:rFonts w:hint="eastAsia"/>
                <w:color w:val="000000"/>
                <w:szCs w:val="21"/>
              </w:rPr>
              <w:t>7.1.5</w:t>
            </w:r>
            <w:r>
              <w:rPr>
                <w:rFonts w:hint="eastAsia"/>
              </w:rPr>
              <w:t>条款、</w:t>
            </w:r>
            <w:r>
              <w:rPr>
                <w:rFonts w:hint="eastAsia"/>
              </w:rPr>
              <w:sym w:font="Wingdings" w:char="00A8"/>
            </w:r>
            <w:r>
              <w:rPr>
                <w:rFonts w:hint="eastAsia"/>
              </w:rPr>
              <w:t>《</w:t>
            </w:r>
            <w:r>
              <w:rPr>
                <w:rFonts w:hint="eastAsia"/>
                <w:color w:val="000000"/>
                <w:szCs w:val="21"/>
              </w:rPr>
              <w:t>XXXX控制程序</w:t>
            </w:r>
            <w:r>
              <w:rPr>
                <w:rFonts w:hint="eastAsia"/>
              </w:rPr>
              <w:t>》</w:t>
            </w:r>
          </w:p>
        </w:tc>
        <w:tc>
          <w:tcPr>
            <w:tcW w:w="1290" w:type="dxa"/>
            <w:vMerge w:val="restart"/>
            <w:shd w:val="clear" w:color="auto" w:fill="auto"/>
          </w:tcPr>
          <w:p>
            <w:r>
              <w:fldChar w:fldCharType="begin"/>
            </w:r>
            <w:r>
              <w:instrText xml:space="preserve"> eq \o\ac(□,√)</w:instrText>
            </w:r>
            <w:r>
              <w:fldChar w:fldCharType="end"/>
            </w:r>
            <w:r>
              <w:t>符合</w:t>
            </w:r>
          </w:p>
          <w:p>
            <w:r>
              <w:fldChar w:fldCharType="begin"/>
            </w:r>
            <w:r>
              <w:instrText xml:space="preserve"> eq \o\ac(□)</w:instrText>
            </w:r>
            <w:r>
              <w:fldChar w:fldCharType="end"/>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3129"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rPr>
                <w:rFonts w:hint="eastAsia"/>
              </w:rPr>
              <w:t>运行证据</w:t>
            </w:r>
          </w:p>
        </w:tc>
        <w:tc>
          <w:tcPr>
            <w:tcW w:w="9523" w:type="dxa"/>
            <w:shd w:val="clear" w:color="auto" w:fill="auto"/>
          </w:tcPr>
          <w:p>
            <w:r>
              <w:rPr>
                <w:rFonts w:hint="eastAsia"/>
              </w:rPr>
              <w:t>组织使用外部建立的FSMS要素，包括：</w:t>
            </w:r>
          </w:p>
          <w:p>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建立PRP</w:t>
            </w:r>
          </w:p>
          <w:p>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进行危害分析和危害控制计划</w:t>
            </w:r>
          </w:p>
          <w:p>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建立、保持、更新和持续改进其FSMS</w:t>
            </w:r>
          </w:p>
          <w:p/>
          <w:p>
            <w:r>
              <w:rPr>
                <w:rFonts w:hint="eastAsia"/>
              </w:rPr>
              <w:t>组织确保所提供的要素为：</w:t>
            </w:r>
          </w:p>
          <w:p>
            <w:r>
              <w:rPr>
                <w:rFonts w:hint="eastAsia"/>
              </w:rPr>
              <w:t xml:space="preserve">a） 以符合ISO22000标准要求的方式建立；               </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 xml:space="preserve">是  </w:t>
            </w:r>
            <w:r>
              <w:rPr>
                <w:rFonts w:hint="eastAsia"/>
              </w:rPr>
              <w:sym w:font="Wingdings" w:char="00A8"/>
            </w:r>
            <w:r>
              <w:rPr>
                <w:rFonts w:hint="eastAsia"/>
              </w:rPr>
              <w:t xml:space="preserve">否  </w:t>
            </w:r>
          </w:p>
          <w:p>
            <w:r>
              <w:rPr>
                <w:rFonts w:hint="eastAsia"/>
              </w:rPr>
              <w:t xml:space="preserve">b） 适用于受审核方的场所、过程和产品；               </w:t>
            </w:r>
            <w:r>
              <w:rPr>
                <w:rFonts w:ascii="宋体" w:hAnsi="宋体"/>
              </w:rPr>
              <w:t xml:space="preserve"> </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 xml:space="preserve">是  </w:t>
            </w:r>
            <w:r>
              <w:rPr>
                <w:rFonts w:hint="eastAsia"/>
              </w:rPr>
              <w:sym w:font="Wingdings" w:char="00A8"/>
            </w:r>
            <w:r>
              <w:rPr>
                <w:rFonts w:hint="eastAsia"/>
              </w:rPr>
              <w:t>否</w:t>
            </w:r>
          </w:p>
          <w:p>
            <w:r>
              <w:rPr>
                <w:rFonts w:hint="eastAsia"/>
              </w:rPr>
              <w:t>c） 与食品安全小组调整其与受审核方的工艺和产品相适应；</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 xml:space="preserve">是  </w:t>
            </w:r>
            <w:r>
              <w:rPr>
                <w:rFonts w:hint="eastAsia"/>
              </w:rPr>
              <w:sym w:font="Wingdings" w:char="00A8"/>
            </w:r>
            <w:r>
              <w:rPr>
                <w:rFonts w:hint="eastAsia"/>
              </w:rPr>
              <w:t>否</w:t>
            </w:r>
          </w:p>
          <w:p>
            <w:r>
              <w:rPr>
                <w:rFonts w:hint="eastAsia"/>
              </w:rPr>
              <w:t xml:space="preserve">d） 按ISO22000标准要求实施、保持和更新；             </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 xml:space="preserve">是  </w:t>
            </w:r>
            <w:r>
              <w:rPr>
                <w:rFonts w:hint="eastAsia"/>
              </w:rPr>
              <w:sym w:font="Wingdings" w:char="00A8"/>
            </w:r>
            <w:r>
              <w:rPr>
                <w:rFonts w:hint="eastAsia"/>
              </w:rPr>
              <w:t>否</w:t>
            </w:r>
          </w:p>
          <w:p>
            <w:r>
              <w:rPr>
                <w:rFonts w:hint="eastAsia"/>
              </w:rPr>
              <w:t xml:space="preserve">e） 作为文件信息保留。                                </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ascii="宋体" w:hAnsi="宋体"/>
              </w:rPr>
              <w:fldChar w:fldCharType="end"/>
            </w:r>
            <w:r>
              <w:rPr>
                <w:rFonts w:hint="eastAsia"/>
              </w:rPr>
              <w:t xml:space="preserve">是  </w:t>
            </w:r>
            <w:r>
              <w:rPr>
                <w:rFonts w:hint="eastAsia"/>
              </w:rPr>
              <w:sym w:font="Wingdings" w:char="00A8"/>
            </w:r>
            <w:r>
              <w:rPr>
                <w:rFonts w:hint="eastAsia"/>
              </w:rPr>
              <w:t>否</w:t>
            </w:r>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68" w:hRule="atLeast"/>
        </w:trPr>
        <w:tc>
          <w:tcPr>
            <w:tcW w:w="2174" w:type="dxa"/>
            <w:vMerge w:val="restart"/>
            <w:shd w:val="clear" w:color="auto" w:fill="auto"/>
          </w:tcPr>
          <w:p>
            <w:r>
              <w:t>运行策划和控制</w:t>
            </w:r>
          </w:p>
        </w:tc>
        <w:tc>
          <w:tcPr>
            <w:tcW w:w="936" w:type="dxa"/>
            <w:gridSpan w:val="2"/>
            <w:vMerge w:val="restart"/>
            <w:shd w:val="clear" w:color="auto" w:fill="auto"/>
          </w:tcPr>
          <w:p>
            <w:r>
              <w:t>F8.1</w:t>
            </w:r>
          </w:p>
        </w:tc>
        <w:tc>
          <w:tcPr>
            <w:tcW w:w="745" w:type="dxa"/>
            <w:shd w:val="clear" w:color="auto" w:fill="auto"/>
          </w:tcPr>
          <w:p>
            <w:r>
              <w:t>文件名称</w:t>
            </w:r>
          </w:p>
        </w:tc>
        <w:tc>
          <w:tcPr>
            <w:tcW w:w="9523" w:type="dxa"/>
            <w:shd w:val="clear" w:color="auto" w:fill="auto"/>
          </w:tcPr>
          <w:p>
            <w:r>
              <w:t>如：</w:t>
            </w:r>
            <w:r>
              <w:fldChar w:fldCharType="begin"/>
            </w:r>
            <w:r>
              <w:instrText xml:space="preserve"> eq \o\ac(□,√)</w:instrText>
            </w:r>
            <w:r>
              <w:fldChar w:fldCharType="end"/>
            </w:r>
            <w:r>
              <w:t>手册8.1条款；</w:t>
            </w:r>
            <w:r>
              <w:fldChar w:fldCharType="begin"/>
            </w:r>
            <w:r>
              <w:instrText xml:space="preserve"> eq \o\ac(□,√)</w:instrText>
            </w:r>
            <w:r>
              <w:fldChar w:fldCharType="end"/>
            </w:r>
            <w:r>
              <w:t>《</w:t>
            </w:r>
            <w:r>
              <w:rPr>
                <w:rFonts w:hint="eastAsia"/>
              </w:rPr>
              <w:t>人力资源管理程序</w:t>
            </w:r>
            <w:r>
              <w:t>》</w:t>
            </w:r>
            <w:r>
              <w:rPr>
                <w:rFonts w:hint="eastAsia"/>
              </w:rPr>
              <w:t>、</w:t>
            </w:r>
            <w:r>
              <w:rPr/>
              <w:sym w:font="Wingdings" w:char="00A8"/>
            </w:r>
            <w:r>
              <w:t>《能力和意识控制程序》</w:t>
            </w:r>
          </w:p>
        </w:tc>
        <w:tc>
          <w:tcPr>
            <w:tcW w:w="1290" w:type="dxa"/>
            <w:vMerge w:val="restart"/>
            <w:shd w:val="clear" w:color="auto" w:fill="auto"/>
          </w:tcPr>
          <w:p>
            <w:r>
              <w:fldChar w:fldCharType="begin"/>
            </w:r>
            <w:r>
              <w:instrText xml:space="preserve"> eq \o\ac(□,√)</w:instrText>
            </w:r>
            <w:r>
              <w:fldChar w:fldCharType="end"/>
            </w:r>
            <w:r>
              <w:t>符合</w:t>
            </w:r>
          </w:p>
          <w:p>
            <w:r>
              <w:fldChar w:fldCharType="begin"/>
            </w:r>
            <w:r>
              <w:instrText xml:space="preserve"> eq \o\ac(□)</w:instrText>
            </w:r>
            <w:r>
              <w:fldChar w:fldCharType="end"/>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3874"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t>运行证据</w:t>
            </w:r>
          </w:p>
        </w:tc>
        <w:tc>
          <w:tcPr>
            <w:tcW w:w="9523" w:type="dxa"/>
            <w:shd w:val="clear" w:color="auto" w:fill="auto"/>
          </w:tcPr>
          <w:p>
            <w:r>
              <w:t>组织通过采取下列措施，策划、实施、控制和更新满足要求的安全产品所必需的过程，并实施风险和机遇分析所确定的措施：</w:t>
            </w:r>
          </w:p>
          <w:p>
            <w:pPr>
              <w:numPr>
                <w:ilvl w:val="0"/>
                <w:numId w:val="1"/>
              </w:numPr>
            </w:pPr>
            <w:r>
              <w:t>为过程建立评价准则：</w:t>
            </w:r>
          </w:p>
          <w:p>
            <w:pPr>
              <w:rPr>
                <w:szCs w:val="21"/>
              </w:rPr>
            </w:pPr>
            <w:r>
              <w:t xml:space="preserve">   </w:t>
            </w:r>
            <w:r>
              <w:rPr>
                <w:szCs w:val="21"/>
              </w:rPr>
              <w:t xml:space="preserve"> </w:t>
            </w:r>
            <w:r>
              <w:rPr>
                <w:szCs w:val="21"/>
              </w:rPr>
              <w:fldChar w:fldCharType="begin"/>
            </w:r>
            <w:r>
              <w:rPr>
                <w:szCs w:val="21"/>
              </w:rPr>
              <w:instrText xml:space="preserve"> eq \o\ac(</w:instrText>
            </w:r>
            <w:r>
              <w:rPr>
                <w:position w:val="-4"/>
                <w:sz w:val="31"/>
                <w:szCs w:val="21"/>
              </w:rPr>
              <w:instrText xml:space="preserve">□</w:instrText>
            </w:r>
            <w:r>
              <w:rPr>
                <w:szCs w:val="21"/>
              </w:rPr>
              <w:instrText xml:space="preserve">,√)</w:instrText>
            </w:r>
            <w:r>
              <w:rPr>
                <w:szCs w:val="21"/>
              </w:rPr>
              <w:fldChar w:fldCharType="end"/>
            </w:r>
            <w:r>
              <w:rPr>
                <w:color w:val="000000"/>
                <w:szCs w:val="21"/>
              </w:rPr>
              <w:t xml:space="preserve">前提方案  </w:t>
            </w:r>
            <w:r>
              <w:rPr>
                <w:szCs w:val="21"/>
              </w:rPr>
              <w:fldChar w:fldCharType="begin"/>
            </w:r>
            <w:r>
              <w:rPr>
                <w:szCs w:val="21"/>
              </w:rPr>
              <w:instrText xml:space="preserve"> eq \o\ac(</w:instrText>
            </w:r>
            <w:r>
              <w:rPr>
                <w:position w:val="-4"/>
                <w:sz w:val="31"/>
                <w:szCs w:val="21"/>
              </w:rPr>
              <w:instrText xml:space="preserve">□</w:instrText>
            </w:r>
            <w:r>
              <w:rPr>
                <w:szCs w:val="21"/>
              </w:rPr>
              <w:instrText xml:space="preserve">,√)</w:instrText>
            </w:r>
            <w:r>
              <w:rPr>
                <w:szCs w:val="21"/>
              </w:rPr>
              <w:fldChar w:fldCharType="end"/>
            </w:r>
            <w:r>
              <w:rPr>
                <w:szCs w:val="21"/>
              </w:rPr>
              <w:t xml:space="preserve">操作性前提方案  </w:t>
            </w:r>
            <w:r>
              <w:rPr>
                <w:szCs w:val="21"/>
              </w:rPr>
              <w:fldChar w:fldCharType="begin"/>
            </w:r>
            <w:r>
              <w:rPr>
                <w:szCs w:val="21"/>
              </w:rPr>
              <w:instrText xml:space="preserve"> eq \o\ac(</w:instrText>
            </w:r>
            <w:r>
              <w:rPr>
                <w:position w:val="-4"/>
                <w:sz w:val="31"/>
                <w:szCs w:val="21"/>
              </w:rPr>
              <w:instrText xml:space="preserve">□</w:instrText>
            </w:r>
            <w:r>
              <w:rPr>
                <w:szCs w:val="21"/>
              </w:rPr>
              <w:instrText xml:space="preserve">,√)</w:instrText>
            </w:r>
            <w:r>
              <w:rPr>
                <w:szCs w:val="21"/>
              </w:rPr>
              <w:fldChar w:fldCharType="end"/>
            </w:r>
            <w:r>
              <w:rPr>
                <w:szCs w:val="21"/>
              </w:rPr>
              <w:t>HACCP</w:t>
            </w:r>
            <w:r>
              <w:rPr>
                <w:rFonts w:hint="eastAsia"/>
                <w:szCs w:val="21"/>
              </w:rPr>
              <w:t>计划</w:t>
            </w:r>
            <w:r>
              <w:rPr>
                <w:szCs w:val="21"/>
              </w:rPr>
              <w:t xml:space="preserve">   </w:t>
            </w:r>
          </w:p>
          <w:p>
            <w:pPr>
              <w:ind w:firstLine="420" w:firstLineChars="200"/>
              <w:rPr>
                <w:szCs w:val="21"/>
              </w:rPr>
            </w:pPr>
            <w:r>
              <w:rPr>
                <w:szCs w:val="21"/>
              </w:rPr>
              <w:fldChar w:fldCharType="begin"/>
            </w:r>
            <w:r>
              <w:rPr>
                <w:szCs w:val="21"/>
              </w:rPr>
              <w:instrText xml:space="preserve"> eq \o\ac(</w:instrText>
            </w:r>
            <w:r>
              <w:rPr>
                <w:position w:val="-4"/>
                <w:sz w:val="31"/>
                <w:szCs w:val="21"/>
              </w:rPr>
              <w:instrText xml:space="preserve">□</w:instrText>
            </w:r>
            <w:r>
              <w:rPr>
                <w:szCs w:val="21"/>
              </w:rPr>
              <w:instrText xml:space="preserve">,√)</w:instrText>
            </w:r>
            <w:r>
              <w:rPr>
                <w:szCs w:val="21"/>
              </w:rPr>
              <w:fldChar w:fldCharType="end"/>
            </w:r>
            <w:r>
              <w:rPr>
                <w:szCs w:val="21"/>
              </w:rPr>
              <w:t xml:space="preserve">原材料和接触材料特性描述   </w:t>
            </w:r>
            <w:r>
              <w:rPr>
                <w:szCs w:val="21"/>
              </w:rPr>
              <w:fldChar w:fldCharType="begin"/>
            </w:r>
            <w:r>
              <w:rPr>
                <w:szCs w:val="21"/>
              </w:rPr>
              <w:instrText xml:space="preserve"> eq \o\ac(</w:instrText>
            </w:r>
            <w:r>
              <w:rPr>
                <w:position w:val="-4"/>
                <w:sz w:val="31"/>
                <w:szCs w:val="21"/>
              </w:rPr>
              <w:instrText xml:space="preserve">□</w:instrText>
            </w:r>
            <w:r>
              <w:rPr>
                <w:szCs w:val="21"/>
              </w:rPr>
              <w:instrText xml:space="preserve">,√)</w:instrText>
            </w:r>
            <w:r>
              <w:rPr>
                <w:szCs w:val="21"/>
              </w:rPr>
              <w:fldChar w:fldCharType="end"/>
            </w:r>
            <w:r>
              <w:rPr>
                <w:szCs w:val="21"/>
              </w:rPr>
              <w:t>终产品特性描述</w:t>
            </w:r>
          </w:p>
          <w:p>
            <w:pPr>
              <w:numPr>
                <w:ilvl w:val="0"/>
                <w:numId w:val="1"/>
              </w:numPr>
            </w:pPr>
            <w:r>
              <w:t>按照准则实施过程控制；</w:t>
            </w:r>
          </w:p>
          <w:p>
            <w:pPr>
              <w:rPr>
                <w:u w:val="single"/>
              </w:rPr>
            </w:pPr>
            <w:r>
              <w:t xml:space="preserve">  </w:t>
            </w:r>
            <w:r>
              <w:rPr>
                <w:u w:val="single"/>
              </w:rPr>
              <w:t xml:space="preserve"> 见《控制记录》和《检查记录》</w:t>
            </w:r>
          </w:p>
          <w:p/>
          <w:p>
            <w:r>
              <w:t>组织应控制策划的更改，评审非预期变更的后果，必要时，采取措施消除不利影响。（见8.6）</w:t>
            </w:r>
          </w:p>
          <w:p/>
          <w:p>
            <w:r>
              <w:t>组织的外包过程：</w:t>
            </w:r>
            <w:r>
              <w:rPr>
                <w:u w:val="single"/>
              </w:rPr>
              <w:t xml:space="preserve">  </w:t>
            </w:r>
            <w:r>
              <w:rPr>
                <w:rFonts w:hint="eastAsia"/>
                <w:u w:val="single"/>
              </w:rPr>
              <w:t>成品运输</w:t>
            </w:r>
            <w:r>
              <w:rPr>
                <w:u w:val="single"/>
              </w:rPr>
              <w:t xml:space="preserve">   </w:t>
            </w:r>
            <w:r>
              <w:t>。</w:t>
            </w:r>
          </w:p>
          <w:p>
            <w:r>
              <w:rPr>
                <w:rFonts w:hint="eastAsia"/>
              </w:rPr>
              <w:t>若存在外包过程，</w:t>
            </w:r>
            <w:r>
              <w:t>外包过程的控制（见7.1.6）</w:t>
            </w:r>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68" w:hRule="atLeast"/>
        </w:trPr>
        <w:tc>
          <w:tcPr>
            <w:tcW w:w="2174" w:type="dxa"/>
            <w:vMerge w:val="restart"/>
          </w:tcPr>
          <w:p>
            <w:r>
              <w:t>前提方案（PRP）</w:t>
            </w:r>
          </w:p>
        </w:tc>
        <w:tc>
          <w:tcPr>
            <w:tcW w:w="936" w:type="dxa"/>
            <w:gridSpan w:val="2"/>
            <w:vMerge w:val="restart"/>
          </w:tcPr>
          <w:p>
            <w:r>
              <w:t>F8.2</w:t>
            </w:r>
          </w:p>
        </w:tc>
        <w:tc>
          <w:tcPr>
            <w:tcW w:w="745" w:type="dxa"/>
          </w:tcPr>
          <w:p>
            <w:r>
              <w:t>文件名称</w:t>
            </w:r>
          </w:p>
        </w:tc>
        <w:tc>
          <w:tcPr>
            <w:tcW w:w="9523" w:type="dxa"/>
          </w:tcPr>
          <w:p>
            <w:r>
              <w:t>如：</w:t>
            </w:r>
            <w:r>
              <w:fldChar w:fldCharType="begin"/>
            </w:r>
            <w:r>
              <w:instrText xml:space="preserve"> eq \o\ac(□,√)</w:instrText>
            </w:r>
            <w:r>
              <w:fldChar w:fldCharType="end"/>
            </w:r>
            <w:r>
              <w:t>《前提方案》</w:t>
            </w:r>
          </w:p>
        </w:tc>
        <w:tc>
          <w:tcPr>
            <w:tcW w:w="1290" w:type="dxa"/>
            <w:vMerge w:val="restart"/>
          </w:tcPr>
          <w:p>
            <w:r>
              <w:fldChar w:fldCharType="begin"/>
            </w:r>
            <w:r>
              <w:instrText xml:space="preserve"> eq \o\ac(□,√)</w:instrText>
            </w:r>
            <w:r>
              <w:fldChar w:fldCharType="end"/>
            </w:r>
            <w:r>
              <w:t>符合</w:t>
            </w:r>
          </w:p>
          <w:p>
            <w:r>
              <w:fldChar w:fldCharType="begin"/>
            </w:r>
            <w:r>
              <w:instrText xml:space="preserve"> eq \o\ac(□)</w:instrText>
            </w:r>
            <w:r>
              <w:fldChar w:fldCharType="end"/>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90" w:hRule="atLeast"/>
        </w:trPr>
        <w:tc>
          <w:tcPr>
            <w:tcW w:w="2174" w:type="dxa"/>
            <w:vMerge w:val="continue"/>
          </w:tcPr>
          <w:p/>
        </w:tc>
        <w:tc>
          <w:tcPr>
            <w:tcW w:w="936" w:type="dxa"/>
            <w:gridSpan w:val="2"/>
            <w:vMerge w:val="continue"/>
          </w:tcPr>
          <w:p/>
        </w:tc>
        <w:tc>
          <w:tcPr>
            <w:tcW w:w="745" w:type="dxa"/>
          </w:tcPr>
          <w:p>
            <w:r>
              <w:t>运行证据</w:t>
            </w:r>
          </w:p>
        </w:tc>
        <w:tc>
          <w:tcPr>
            <w:tcW w:w="9523" w:type="dxa"/>
            <w:shd w:val="clear" w:color="auto" w:fill="auto"/>
          </w:tcPr>
          <w:p>
            <w:r>
              <w:t>组织建立、实施、保持和更新PRP，以便于防止和/或减少产品、产品加工和工作环境中的污染物（包括食品安全危害）。</w:t>
            </w:r>
          </w:p>
          <w:p>
            <w:pPr>
              <w:rPr>
                <w:color w:val="000000"/>
                <w:szCs w:val="21"/>
                <w:u w:val="single"/>
              </w:rPr>
            </w:pPr>
            <w:r>
              <w:t>本企业的前提方案所依据的卫生规范：</w:t>
            </w:r>
            <w:r>
              <w:rPr>
                <w:rFonts w:hint="eastAsia"/>
              </w:rPr>
              <w:t xml:space="preserve"> </w:t>
            </w:r>
            <w:r>
              <w:rPr>
                <w:rFonts w:hint="eastAsia"/>
                <w:color w:val="000000"/>
                <w:szCs w:val="21"/>
                <w:u w:val="single"/>
              </w:rPr>
              <w:t xml:space="preserve"> GB 14881-2013 《食品安全国家标准 食品生产通用卫生规范》</w:t>
            </w:r>
          </w:p>
          <w:p>
            <w:pPr>
              <w:rPr>
                <w:u w:val="single"/>
              </w:rPr>
            </w:pPr>
            <w:r>
              <w:t xml:space="preserve">是否与相关产品/服务相适宜 </w:t>
            </w:r>
            <w:r>
              <w:fldChar w:fldCharType="begin"/>
            </w:r>
            <w:r>
              <w:instrText xml:space="preserve"> eq \o\ac(□,√)</w:instrText>
            </w:r>
            <w:r>
              <w:fldChar w:fldCharType="end"/>
            </w:r>
            <w:r>
              <w:t xml:space="preserve">是   </w:t>
            </w:r>
            <w:r>
              <w:rPr/>
              <w:sym w:font="Wingdings" w:char="00A8"/>
            </w:r>
            <w:r>
              <w:t>否，说明：</w:t>
            </w:r>
            <w:r>
              <w:rPr>
                <w:u w:val="single"/>
              </w:rPr>
              <w:t xml:space="preserve">                            </w:t>
            </w:r>
          </w:p>
          <w:p/>
          <w:p>
            <w:r>
              <w:t>内容包括：</w:t>
            </w:r>
          </w:p>
          <w:p>
            <w:r>
              <w:t xml:space="preserve">a) 建筑物和相关设施的构造与布局；                           </w:t>
            </w:r>
            <w:r>
              <w:fldChar w:fldCharType="begin"/>
            </w:r>
            <w:r>
              <w:instrText xml:space="preserve"> eq \o\ac(□,√)</w:instrText>
            </w:r>
            <w:r>
              <w:fldChar w:fldCharType="end"/>
            </w:r>
            <w:r>
              <w:t xml:space="preserve">有   </w:t>
            </w:r>
            <w:r>
              <w:rPr/>
              <w:sym w:font="Wingdings" w:char="00A8"/>
            </w:r>
            <w:r>
              <w:t>无</w:t>
            </w:r>
          </w:p>
          <w:p>
            <w:r>
              <w:t xml:space="preserve">b) 包括工作空间和员工设施在内的厂房布局；                   </w:t>
            </w:r>
            <w:r>
              <w:fldChar w:fldCharType="begin"/>
            </w:r>
            <w:r>
              <w:instrText xml:space="preserve"> eq \o\ac(□,√)</w:instrText>
            </w:r>
            <w:r>
              <w:fldChar w:fldCharType="end"/>
            </w:r>
            <w:r>
              <w:t xml:space="preserve">有   </w:t>
            </w:r>
            <w:r>
              <w:rPr/>
              <w:sym w:font="Wingdings" w:char="00A8"/>
            </w:r>
            <w:r>
              <w:t>无</w:t>
            </w:r>
          </w:p>
          <w:p>
            <w:r>
              <w:t xml:space="preserve">c) 空气、水、能源和其他基础条件的供给；                     </w:t>
            </w:r>
            <w:r>
              <w:fldChar w:fldCharType="begin"/>
            </w:r>
            <w:r>
              <w:instrText xml:space="preserve"> eq \o\ac(□,√)</w:instrText>
            </w:r>
            <w:r>
              <w:fldChar w:fldCharType="end"/>
            </w:r>
            <w:r>
              <w:t xml:space="preserve">有   </w:t>
            </w:r>
            <w:r>
              <w:rPr/>
              <w:sym w:font="Wingdings" w:char="00A8"/>
            </w:r>
            <w:r>
              <w:t>无</w:t>
            </w:r>
          </w:p>
          <w:p>
            <w:pPr>
              <w:rPr>
                <w:color w:val="FF0000"/>
              </w:rPr>
            </w:pPr>
            <w:r>
              <w:t xml:space="preserve">d) 包括虫害控制、废弃物和污水处理在内的支持性服务；        </w:t>
            </w:r>
            <w:r>
              <w:fldChar w:fldCharType="begin"/>
            </w:r>
            <w:r>
              <w:instrText xml:space="preserve"> eq \o\ac(□,√)</w:instrText>
            </w:r>
            <w:r>
              <w:fldChar w:fldCharType="end"/>
            </w:r>
            <w:r>
              <w:t xml:space="preserve">有   </w:t>
            </w:r>
            <w:r>
              <w:rPr/>
              <w:sym w:font="Wingdings" w:char="00A8"/>
            </w:r>
            <w:r>
              <w:t>无</w:t>
            </w:r>
          </w:p>
          <w:p>
            <w:r>
              <w:t xml:space="preserve">e) 设备的适宜性，及其清洁、保养和预防性维护的可实现性；   </w:t>
            </w:r>
            <w:r>
              <w:fldChar w:fldCharType="begin"/>
            </w:r>
            <w:r>
              <w:instrText xml:space="preserve"> eq \o\ac(□,√)</w:instrText>
            </w:r>
            <w:r>
              <w:fldChar w:fldCharType="end"/>
            </w:r>
            <w:r>
              <w:t xml:space="preserve">有   </w:t>
            </w:r>
            <w:r>
              <w:rPr/>
              <w:sym w:font="Wingdings" w:char="00A8"/>
            </w:r>
            <w:r>
              <w:t>无</w:t>
            </w:r>
          </w:p>
          <w:p>
            <w:r>
              <w:t xml:space="preserve">f) 供应商保证过程（如原料、辅料、化学品和包装材料） ；    </w:t>
            </w:r>
            <w:r>
              <w:fldChar w:fldCharType="begin"/>
            </w:r>
            <w:r>
              <w:instrText xml:space="preserve"> eq \o\ac(□,√)</w:instrText>
            </w:r>
            <w:r>
              <w:fldChar w:fldCharType="end"/>
            </w:r>
            <w:r>
              <w:t xml:space="preserve">有   </w:t>
            </w:r>
            <w:r>
              <w:rPr/>
              <w:sym w:font="Wingdings" w:char="00A8"/>
            </w:r>
            <w:r>
              <w:t>无</w:t>
            </w:r>
          </w:p>
          <w:p>
            <w:r>
              <w:t xml:space="preserve">g) 来料的接收、储存、发运、运输和产品的搬运；               </w:t>
            </w:r>
            <w:r>
              <w:fldChar w:fldCharType="begin"/>
            </w:r>
            <w:r>
              <w:instrText xml:space="preserve"> eq \o\ac(□,√)</w:instrText>
            </w:r>
            <w:r>
              <w:fldChar w:fldCharType="end"/>
            </w:r>
            <w:r>
              <w:t xml:space="preserve">有   </w:t>
            </w:r>
            <w:r>
              <w:rPr/>
              <w:sym w:font="Wingdings" w:char="00A8"/>
            </w:r>
            <w:r>
              <w:t>无</w:t>
            </w:r>
          </w:p>
          <w:p>
            <w:r>
              <w:t xml:space="preserve">h) 防止交叉污染的措施；                                     </w:t>
            </w:r>
            <w:r>
              <w:fldChar w:fldCharType="begin"/>
            </w:r>
            <w:r>
              <w:instrText xml:space="preserve"> eq \o\ac(□,√)</w:instrText>
            </w:r>
            <w:r>
              <w:fldChar w:fldCharType="end"/>
            </w:r>
            <w:r>
              <w:t xml:space="preserve">有   </w:t>
            </w:r>
            <w:r>
              <w:rPr/>
              <w:sym w:font="Wingdings" w:char="00A8"/>
            </w:r>
            <w:r>
              <w:t>无</w:t>
            </w:r>
          </w:p>
          <w:p>
            <w:r>
              <w:t xml:space="preserve">i) 清洁和消毒；                                             </w:t>
            </w:r>
            <w:r>
              <w:fldChar w:fldCharType="begin"/>
            </w:r>
            <w:r>
              <w:instrText xml:space="preserve"> eq \o\ac(□,√)</w:instrText>
            </w:r>
            <w:r>
              <w:fldChar w:fldCharType="end"/>
            </w:r>
            <w:r>
              <w:t xml:space="preserve">有   </w:t>
            </w:r>
            <w:r>
              <w:rPr/>
              <w:sym w:font="Wingdings" w:char="00A8"/>
            </w:r>
            <w:r>
              <w:t>无</w:t>
            </w:r>
          </w:p>
          <w:p>
            <w:r>
              <w:t xml:space="preserve">j) 人员卫生；                                               </w:t>
            </w:r>
            <w:r>
              <w:fldChar w:fldCharType="begin"/>
            </w:r>
            <w:r>
              <w:instrText xml:space="preserve"> eq \o\ac(□,√)</w:instrText>
            </w:r>
            <w:r>
              <w:fldChar w:fldCharType="end"/>
            </w:r>
            <w:r>
              <w:t xml:space="preserve">有   </w:t>
            </w:r>
            <w:r>
              <w:rPr/>
              <w:sym w:font="Wingdings" w:char="00A8"/>
            </w:r>
            <w:r>
              <w:t>无</w:t>
            </w:r>
          </w:p>
          <w:p>
            <w:r>
              <w:t xml:space="preserve">k) 产品信息/消费者意识；                                    </w:t>
            </w:r>
            <w:r>
              <w:fldChar w:fldCharType="begin"/>
            </w:r>
            <w:r>
              <w:instrText xml:space="preserve"> eq \o\ac(□,√)</w:instrText>
            </w:r>
            <w:r>
              <w:fldChar w:fldCharType="end"/>
            </w:r>
            <w:r>
              <w:t xml:space="preserve">有   </w:t>
            </w:r>
            <w:r>
              <w:rPr/>
              <w:sym w:font="Wingdings" w:char="00A8"/>
            </w:r>
            <w:r>
              <w:t>无</w:t>
            </w:r>
          </w:p>
          <w:p>
            <w:r>
              <w:t xml:space="preserve">l) 其他有关方面。                                           </w:t>
            </w:r>
            <w:r>
              <w:rPr/>
              <w:sym w:font="Wingdings" w:char="00A8"/>
            </w:r>
            <w:r>
              <w:t xml:space="preserve">有   </w:t>
            </w:r>
            <w:r>
              <w:rPr/>
              <w:sym w:font="Wingdings" w:char="00A8"/>
            </w:r>
            <w:r>
              <w:t>无</w:t>
            </w:r>
          </w:p>
          <w:p/>
          <w:p>
            <w:pPr>
              <w:rPr>
                <w:u w:val="single"/>
              </w:rPr>
            </w:pPr>
            <w:r>
              <w:t>《前提方案》的内容包括：</w:t>
            </w:r>
            <w:r>
              <w:fldChar w:fldCharType="begin"/>
            </w:r>
            <w:r>
              <w:instrText xml:space="preserve"> eq \o\ac(□,√)</w:instrText>
            </w:r>
            <w:r>
              <w:fldChar w:fldCharType="end"/>
            </w:r>
            <w:r>
              <w:t xml:space="preserve">内容全面   </w:t>
            </w:r>
            <w:r>
              <w:rPr/>
              <w:sym w:font="Wingdings" w:char="00A8"/>
            </w:r>
            <w:r>
              <w:t>内容不全面，说明：</w:t>
            </w:r>
            <w:r>
              <w:rPr>
                <w:u w:val="single"/>
              </w:rPr>
              <w:t xml:space="preserve">                    </w:t>
            </w:r>
          </w:p>
          <w:p>
            <w:r>
              <w:t xml:space="preserve">规定PRP的选择、建立、适用的监测和验证的文件化信息。      </w:t>
            </w:r>
            <w:r>
              <w:fldChar w:fldCharType="begin"/>
            </w:r>
            <w:r>
              <w:instrText xml:space="preserve"> eq \o\ac(□</w:instrText>
            </w:r>
            <w:r>
              <w:rPr>
                <w:rFonts w:hint="eastAsia"/>
              </w:rPr>
              <w:instrText xml:space="preserve">,</w:instrText>
            </w:r>
            <w:r>
              <w:rPr>
                <w:rFonts w:hint="eastAsia"/>
                <w:position w:val="2"/>
                <w:sz w:val="13"/>
              </w:rPr>
              <w:instrText xml:space="preserve">√</w:instrText>
            </w:r>
            <w:r>
              <w:instrText xml:space="preserve">)</w:instrText>
            </w:r>
            <w:r>
              <w:fldChar w:fldCharType="end"/>
            </w:r>
            <w:r>
              <w:t xml:space="preserve">是   </w:t>
            </w:r>
            <w:r>
              <w:rPr/>
              <w:sym w:font="Wingdings" w:char="00A8"/>
            </w:r>
            <w:r>
              <w:t>否</w:t>
            </w:r>
          </w:p>
          <w:p/>
          <w:p/>
          <w:p>
            <w:r>
              <w:t>该企业前提方案（PRPs） 符合下列要求：</w:t>
            </w:r>
          </w:p>
          <w:p>
            <w:r>
              <w:t>a) 与组织及其在食品安全方面所处形势相适宜；</w:t>
            </w:r>
          </w:p>
          <w:p>
            <w:r>
              <w:t>b) 与组织运行的规模和类型、 制造和（或） 处置的产品性质相适宜；</w:t>
            </w:r>
          </w:p>
          <w:p>
            <w:r>
              <w:t>c) 在整个生产系统中实施， 无论作为通用方案还是适用于特定产品或生产线的专门方案；</w:t>
            </w:r>
          </w:p>
          <w:p>
            <w:r>
              <w:t>d) 获得食品安全小组的批准。批准日期：</w:t>
            </w:r>
            <w:r>
              <w:rPr>
                <w:u w:val="single"/>
              </w:rPr>
              <w:t xml:space="preserve">    2021 年</w:t>
            </w:r>
            <w:r>
              <w:rPr>
                <w:rFonts w:hint="eastAsia"/>
                <w:u w:val="single"/>
              </w:rPr>
              <w:t>1</w:t>
            </w:r>
            <w:r>
              <w:rPr>
                <w:u w:val="single"/>
              </w:rPr>
              <w:t xml:space="preserve">月 </w:t>
            </w:r>
            <w:r>
              <w:rPr>
                <w:rFonts w:hint="eastAsia"/>
                <w:u w:val="single"/>
              </w:rPr>
              <w:t>4</w:t>
            </w:r>
            <w:r>
              <w:rPr>
                <w:u w:val="single"/>
              </w:rPr>
              <w:t xml:space="preserve"> 日</w:t>
            </w:r>
            <w:r>
              <w:rPr>
                <w:rFonts w:hint="eastAsia"/>
                <w:u w:val="single"/>
              </w:rPr>
              <w:t>（审核周期内未发生变更）</w:t>
            </w:r>
            <w:r>
              <w:rPr>
                <w:u w:val="single"/>
              </w:rPr>
              <w:t xml:space="preserve">         </w:t>
            </w:r>
          </w:p>
          <w:p>
            <w:pPr>
              <w:rPr>
                <w:highlight w:val="cyan"/>
              </w:rPr>
            </w:pPr>
          </w:p>
          <w:p>
            <w:r>
              <w:t>8. 2. 3 当选择和（或） 制定前提方案（PRPs） 时， 组织应考虑：</w:t>
            </w:r>
          </w:p>
          <w:p>
            <w:r>
              <w:t>1)  ISO/TS 22002系列适用技术规范；</w:t>
            </w:r>
          </w:p>
          <w:p>
            <w:pPr>
              <w:ind w:firstLine="420" w:firstLineChars="200"/>
            </w:pPr>
            <w:r>
              <w:rPr/>
              <w:sym w:font="Wingdings" w:char="00FE"/>
            </w:r>
            <w:r>
              <w:t>ISO/TS 22002-1《食品安全前提方案 食品生产》；</w:t>
            </w:r>
          </w:p>
          <w:p>
            <w:pPr>
              <w:ind w:firstLine="420" w:firstLineChars="200"/>
            </w:pPr>
            <w:r>
              <w:rPr/>
              <w:sym w:font="Wingdings" w:char="00A8"/>
            </w:r>
            <w:r>
              <w:t>ISO/TS 22002-2《食品安全前提方案 餐饮》；</w:t>
            </w:r>
          </w:p>
          <w:p>
            <w:pPr>
              <w:ind w:firstLine="420" w:firstLineChars="200"/>
            </w:pPr>
            <w:r>
              <w:rPr/>
              <w:sym w:font="Wingdings" w:char="00A8"/>
            </w:r>
            <w:r>
              <w:t>ISO/TS 22002-3《食品安全前提方案 种植》</w:t>
            </w:r>
          </w:p>
          <w:p>
            <w:pPr>
              <w:ind w:firstLine="420" w:firstLineChars="200"/>
            </w:pPr>
            <w:r>
              <w:rPr/>
              <w:sym w:font="Wingdings" w:char="00A8"/>
            </w:r>
            <w:r>
              <w:t>ISO/TS 22002-2《食品安全前提方案 食品包装制造》</w:t>
            </w:r>
          </w:p>
          <w:p>
            <w:pPr>
              <w:pStyle w:val="11"/>
            </w:pPr>
          </w:p>
          <w:p>
            <w:r>
              <w:t>2）立法/执法要求和顾客要求；</w:t>
            </w:r>
          </w:p>
          <w:p>
            <w:pPr>
              <w:ind w:firstLine="420" w:firstLineChars="200"/>
            </w:pPr>
            <w:r>
              <w:rPr/>
              <w:sym w:font="Wingdings" w:char="00FE"/>
            </w:r>
            <w:r>
              <w:t>立法执法要求：满足相关法律法规要求</w:t>
            </w:r>
          </w:p>
          <w:p>
            <w:pPr>
              <w:ind w:firstLine="420" w:firstLineChars="200"/>
            </w:pPr>
            <w:r>
              <w:rPr/>
              <w:sym w:font="Wingdings" w:char="00FE"/>
            </w:r>
            <w:r>
              <w:t>顾客要求：</w:t>
            </w:r>
            <w:r>
              <w:rPr>
                <w:rFonts w:hint="eastAsia"/>
              </w:rPr>
              <w:t>产品外观完好、重金属不超标等</w:t>
            </w:r>
          </w:p>
          <w:p>
            <w:r>
              <w:t>3）适用法典和指南。</w:t>
            </w:r>
          </w:p>
          <w:p>
            <w:pPr>
              <w:rPr>
                <w:highlight w:val="cyan"/>
              </w:rPr>
            </w:pPr>
            <w:r>
              <w:t xml:space="preserve">  无</w:t>
            </w:r>
          </w:p>
        </w:tc>
        <w:tc>
          <w:tcPr>
            <w:tcW w:w="1290"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197" w:type="dxa"/>
            <w:gridSpan w:val="3"/>
            <w:vMerge w:val="restart"/>
          </w:tcPr>
          <w:p>
            <w:r>
              <w:t>标识和可追溯性</w:t>
            </w:r>
          </w:p>
        </w:tc>
        <w:tc>
          <w:tcPr>
            <w:tcW w:w="922" w:type="dxa"/>
            <w:vMerge w:val="restart"/>
          </w:tcPr>
          <w:p>
            <w:r>
              <w:t>F8.3</w:t>
            </w:r>
          </w:p>
          <w:p/>
        </w:tc>
        <w:tc>
          <w:tcPr>
            <w:tcW w:w="745" w:type="dxa"/>
          </w:tcPr>
          <w:p>
            <w:r>
              <w:t>文件名称</w:t>
            </w:r>
          </w:p>
        </w:tc>
        <w:tc>
          <w:tcPr>
            <w:tcW w:w="9523" w:type="dxa"/>
          </w:tcPr>
          <w:p>
            <w:r>
              <w:t>如：</w:t>
            </w:r>
            <w:r>
              <w:fldChar w:fldCharType="begin"/>
            </w:r>
            <w:r>
              <w:instrText xml:space="preserve"> eq \o\ac(□,√)</w:instrText>
            </w:r>
            <w:r>
              <w:fldChar w:fldCharType="end"/>
            </w:r>
            <w:r>
              <w:t>手册8.5.2条款、</w:t>
            </w:r>
            <w:r>
              <w:fldChar w:fldCharType="begin"/>
            </w:r>
            <w:r>
              <w:instrText xml:space="preserve"> eq \o\ac(□,√)</w:instrText>
            </w:r>
            <w:r>
              <w:fldChar w:fldCharType="end"/>
            </w:r>
            <w:r>
              <w:t>《</w:t>
            </w:r>
            <w:r>
              <w:rPr>
                <w:rFonts w:hint="eastAsia"/>
              </w:rPr>
              <w:t>产品标识和可追溯程序</w:t>
            </w:r>
            <w:r>
              <w:rPr>
                <w:szCs w:val="16"/>
              </w:rPr>
              <w:t>》</w:t>
            </w:r>
            <w:r>
              <w:t>、</w:t>
            </w:r>
            <w:r>
              <w:fldChar w:fldCharType="begin"/>
            </w:r>
            <w:r>
              <w:instrText xml:space="preserve"> eq \o\ac(□,√)</w:instrText>
            </w:r>
            <w:r>
              <w:fldChar w:fldCharType="end"/>
            </w:r>
            <w:r>
              <w:t>《前提方案》</w:t>
            </w:r>
            <w:r>
              <w:rPr>
                <w:rFonts w:hint="eastAsia"/>
              </w:rPr>
              <w:t>、</w:t>
            </w:r>
            <w:r>
              <w:fldChar w:fldCharType="begin"/>
            </w:r>
            <w:r>
              <w:instrText xml:space="preserve"> eq \o\ac(□,√)</w:instrText>
            </w:r>
            <w:r>
              <w:fldChar w:fldCharType="end"/>
            </w:r>
            <w:r>
              <w:rPr>
                <w:rFonts w:hint="eastAsia"/>
              </w:rPr>
              <w:t>《通知和召回程序》</w:t>
            </w:r>
          </w:p>
        </w:tc>
        <w:tc>
          <w:tcPr>
            <w:tcW w:w="1290" w:type="dxa"/>
            <w:vMerge w:val="restart"/>
          </w:tcPr>
          <w:p>
            <w:r>
              <w:fldChar w:fldCharType="begin"/>
            </w:r>
            <w:r>
              <w:instrText xml:space="preserve"> eq \o\ac(□,</w:instrText>
            </w:r>
            <w:r>
              <w:rPr>
                <w:position w:val="2"/>
                <w:sz w:val="13"/>
              </w:rPr>
              <w:instrText xml:space="preserve">√</w:instrText>
            </w:r>
            <w:r>
              <w:instrText xml:space="preserve">)</w:instrText>
            </w:r>
            <w:r>
              <w:fldChar w:fldCharType="end"/>
            </w:r>
            <w:r>
              <w:t>符合</w:t>
            </w:r>
          </w:p>
          <w:p>
            <w:r>
              <w:rPr/>
              <w:sym w:font="Wingdings" w:char="00A8"/>
            </w:r>
            <w:r>
              <w:t>不符合</w:t>
            </w:r>
          </w:p>
          <w:p/>
          <w:p/>
          <w:p/>
          <w:p/>
          <w:p/>
          <w:p/>
          <w:p/>
          <w:p/>
          <w:p/>
          <w:p/>
          <w:p/>
          <w:p/>
          <w:p/>
          <w:p/>
          <w:p/>
          <w:p/>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2197" w:type="dxa"/>
            <w:gridSpan w:val="3"/>
            <w:vMerge w:val="continue"/>
          </w:tcPr>
          <w:p/>
        </w:tc>
        <w:tc>
          <w:tcPr>
            <w:tcW w:w="922" w:type="dxa"/>
            <w:vMerge w:val="continue"/>
          </w:tcPr>
          <w:p/>
        </w:tc>
        <w:tc>
          <w:tcPr>
            <w:tcW w:w="745" w:type="dxa"/>
          </w:tcPr>
          <w:p>
            <w:r>
              <w:t>运行证据</w:t>
            </w:r>
          </w:p>
        </w:tc>
        <w:tc>
          <w:tcPr>
            <w:tcW w:w="9523" w:type="dxa"/>
          </w:tcPr>
          <w:p>
            <w:r>
              <w:t>产品的检验状态标识：</w:t>
            </w:r>
            <w:r>
              <w:rPr/>
              <w:sym w:font="Wingdings" w:char="00FE"/>
            </w:r>
            <w:r>
              <w:t xml:space="preserve">待检 </w:t>
            </w:r>
            <w:r>
              <w:rPr/>
              <w:sym w:font="Wingdings" w:char="00A8"/>
            </w:r>
            <w:r>
              <w:t xml:space="preserve">待下结论 </w:t>
            </w:r>
            <w:r>
              <w:rPr/>
              <w:sym w:font="Wingdings" w:char="00FE"/>
            </w:r>
            <w:r>
              <w:t xml:space="preserve">合格  </w:t>
            </w:r>
            <w:r>
              <w:rPr/>
              <w:sym w:font="Wingdings" w:char="00FE"/>
            </w:r>
            <w:r>
              <w:t xml:space="preserve">不合格  </w:t>
            </w:r>
          </w:p>
          <w:p/>
          <w:p>
            <w:r>
              <w:t>在建立和实施可追溯性体系时，考虑了以下内容：</w:t>
            </w:r>
          </w:p>
          <w:p>
            <w:r>
              <w:t xml:space="preserve"> </w:t>
            </w:r>
            <w:r>
              <w:rPr/>
              <w:sym w:font="Wingdings" w:char="00FE"/>
            </w:r>
            <w:r>
              <w:t>接收物料、配料、中间产品批量与最终产品的关系；</w:t>
            </w:r>
          </w:p>
          <w:p>
            <w:r>
              <w:t xml:space="preserve"> </w:t>
            </w:r>
            <w:r>
              <w:rPr/>
              <w:sym w:font="Wingdings" w:char="00A8"/>
            </w:r>
            <w:r>
              <w:t>材料/产品的返工；</w:t>
            </w:r>
            <w:r>
              <w:rPr>
                <w:rFonts w:hint="eastAsia"/>
              </w:rPr>
              <w:t>（不涉及）</w:t>
            </w:r>
          </w:p>
          <w:p>
            <w:r>
              <w:t xml:space="preserve"> </w:t>
            </w:r>
            <w:r>
              <w:rPr/>
              <w:sym w:font="Wingdings" w:char="00FE"/>
            </w:r>
            <w:r>
              <w:t>最终产品的分销。</w:t>
            </w:r>
          </w:p>
          <w:p/>
          <w:p>
            <w:r>
              <w:t>原材料的唯一性标识方式：</w:t>
            </w:r>
          </w:p>
          <w:p>
            <w:r>
              <w:rPr/>
              <w:sym w:font="Wingdings" w:char="00A8"/>
            </w:r>
            <w:r>
              <w:t xml:space="preserve">容器编号  </w:t>
            </w:r>
            <w:r>
              <w:rPr/>
              <w:sym w:font="Wingdings" w:char="00A8"/>
            </w:r>
            <w:r>
              <w:t xml:space="preserve">标牌  </w:t>
            </w:r>
            <w:r>
              <w:rPr/>
              <w:sym w:font="Wingdings" w:char="00FE"/>
            </w:r>
            <w:r>
              <w:t xml:space="preserve">标签  </w:t>
            </w:r>
            <w:r>
              <w:rPr/>
              <w:sym w:font="Wingdings" w:char="00FE"/>
            </w:r>
            <w:r>
              <w:t xml:space="preserve">区域  </w:t>
            </w:r>
            <w:r>
              <w:rPr/>
              <w:sym w:font="Wingdings" w:char="00A8"/>
            </w:r>
            <w:r>
              <w:t xml:space="preserve">周装箱的颜色  </w:t>
            </w:r>
            <w:r>
              <w:rPr/>
              <w:sym w:font="Wingdings" w:char="00A8"/>
            </w:r>
            <w:r>
              <w:t xml:space="preserve">批号打码 </w:t>
            </w:r>
            <w:r>
              <w:rPr/>
              <w:sym w:font="Wingdings" w:char="00A8"/>
            </w:r>
            <w:r>
              <w:t xml:space="preserve">条形码 </w:t>
            </w:r>
            <w:r>
              <w:rPr/>
              <w:sym w:font="Wingdings" w:char="00A8"/>
            </w:r>
            <w:r>
              <w:t>二维码</w:t>
            </w:r>
            <w:r>
              <w:rPr>
                <w:rFonts w:hint="eastAsia"/>
              </w:rPr>
              <w:t xml:space="preserve">  </w:t>
            </w:r>
            <w:r>
              <w:rPr/>
              <w:sym w:font="Wingdings" w:char="00A8"/>
            </w:r>
            <w:r>
              <w:t>其他</w:t>
            </w:r>
            <w:r>
              <w:rPr>
                <w:rFonts w:hint="eastAsia"/>
              </w:rPr>
              <w:t>——进货批号标识</w:t>
            </w:r>
          </w:p>
          <w:p>
            <w:pPr>
              <w:rPr>
                <w:highlight w:val="yellow"/>
              </w:rPr>
            </w:pPr>
          </w:p>
          <w:p>
            <w:r>
              <w:t xml:space="preserve">半成品的唯一性标识方式： </w:t>
            </w:r>
          </w:p>
          <w:p>
            <w:r>
              <w:rPr/>
              <w:sym w:font="Wingdings" w:char="00A8"/>
            </w:r>
            <w:r>
              <w:t xml:space="preserve">容器编号  </w:t>
            </w:r>
            <w:r>
              <w:rPr/>
              <w:sym w:font="Wingdings" w:char="00FE"/>
            </w:r>
            <w:r>
              <w:t xml:space="preserve">标牌  </w:t>
            </w:r>
            <w:r>
              <w:rPr/>
              <w:sym w:font="Wingdings" w:char="00A8"/>
            </w:r>
            <w:r>
              <w:t xml:space="preserve">标签  </w:t>
            </w:r>
            <w:r>
              <w:rPr/>
              <w:sym w:font="Wingdings" w:char="00FE"/>
            </w:r>
            <w:r>
              <w:t xml:space="preserve">区域  </w:t>
            </w:r>
            <w:r>
              <w:rPr/>
              <w:sym w:font="Wingdings" w:char="00A8"/>
            </w:r>
            <w:r>
              <w:t xml:space="preserve">周装箱的颜色  </w:t>
            </w:r>
            <w:r>
              <w:rPr/>
              <w:sym w:font="Wingdings" w:char="00A8"/>
            </w:r>
            <w:r>
              <w:t xml:space="preserve">批号打码 </w:t>
            </w:r>
            <w:r>
              <w:rPr/>
              <w:sym w:font="Wingdings" w:char="00A8"/>
            </w:r>
            <w:r>
              <w:t xml:space="preserve">条形码 </w:t>
            </w:r>
            <w:r>
              <w:rPr/>
              <w:sym w:font="Wingdings" w:char="00A8"/>
            </w:r>
            <w:r>
              <w:t xml:space="preserve">二维码 </w:t>
            </w:r>
            <w:r>
              <w:rPr/>
              <w:sym w:font="Wingdings" w:char="00FE"/>
            </w:r>
            <w:r>
              <w:t>其他</w:t>
            </w:r>
            <w:r>
              <w:rPr>
                <w:rFonts w:hint="eastAsia"/>
              </w:rPr>
              <w:t>—进货批号标识</w:t>
            </w:r>
          </w:p>
          <w:p>
            <w:pPr>
              <w:rPr>
                <w:highlight w:val="yellow"/>
              </w:rPr>
            </w:pPr>
          </w:p>
          <w:p>
            <w:r>
              <w:t xml:space="preserve">成品的唯一性标识方式： </w:t>
            </w:r>
          </w:p>
          <w:p>
            <w:r>
              <w:rPr/>
              <w:sym w:font="Wingdings" w:char="00A8"/>
            </w:r>
            <w:r>
              <w:t xml:space="preserve">容器编号  </w:t>
            </w:r>
            <w:r>
              <w:rPr/>
              <w:sym w:font="Wingdings" w:char="00FE"/>
            </w:r>
            <w:r>
              <w:t xml:space="preserve">标牌  </w:t>
            </w:r>
            <w:r>
              <w:rPr/>
              <w:sym w:font="Wingdings" w:char="00FE"/>
            </w:r>
            <w:r>
              <w:t xml:space="preserve">标签  </w:t>
            </w:r>
            <w:r>
              <w:rPr/>
              <w:sym w:font="Wingdings" w:char="00FE"/>
            </w:r>
            <w:r>
              <w:t xml:space="preserve">区域  </w:t>
            </w:r>
            <w:r>
              <w:rPr/>
              <w:sym w:font="Wingdings" w:char="00A8"/>
            </w:r>
            <w:r>
              <w:t xml:space="preserve">周装箱的颜色  </w:t>
            </w:r>
            <w:r>
              <w:rPr/>
              <w:sym w:font="Wingdings" w:char="00FE"/>
            </w:r>
            <w:r>
              <w:t xml:space="preserve">批号打码 </w:t>
            </w:r>
            <w:r>
              <w:rPr/>
              <w:sym w:font="Wingdings" w:char="00A8"/>
            </w:r>
            <w:r>
              <w:t xml:space="preserve">条形码 </w:t>
            </w:r>
            <w:r>
              <w:rPr/>
              <w:sym w:font="Wingdings" w:char="00A8"/>
            </w:r>
            <w:r>
              <w:t xml:space="preserve">二维码 </w:t>
            </w:r>
            <w:r>
              <w:fldChar w:fldCharType="begin"/>
            </w:r>
            <w:r>
              <w:instrText xml:space="preserve"> eq \o\ac(□)</w:instrText>
            </w:r>
            <w:r>
              <w:fldChar w:fldCharType="end"/>
            </w:r>
            <w:r>
              <w:t>其他</w:t>
            </w:r>
            <w:r>
              <w:rPr>
                <w:rFonts w:hint="eastAsia"/>
              </w:rPr>
              <w:t>—周转筐</w:t>
            </w:r>
          </w:p>
          <w:p>
            <w:pPr>
              <w:pStyle w:val="2"/>
            </w:pPr>
          </w:p>
          <w:p>
            <w:r>
              <w:rPr>
                <w:rFonts w:hint="eastAsia"/>
              </w:rPr>
              <w:t>组织于</w:t>
            </w:r>
            <w:r>
              <w:rPr>
                <w:rFonts w:hint="eastAsia"/>
                <w:szCs w:val="21"/>
                <w:u w:val="single"/>
              </w:rPr>
              <w:t xml:space="preserve">  202</w:t>
            </w:r>
            <w:r>
              <w:rPr>
                <w:szCs w:val="21"/>
                <w:u w:val="single"/>
              </w:rPr>
              <w:t>2</w:t>
            </w:r>
            <w:r>
              <w:rPr>
                <w:rFonts w:hint="eastAsia"/>
                <w:szCs w:val="21"/>
                <w:u w:val="single"/>
              </w:rPr>
              <w:t xml:space="preserve"> </w:t>
            </w:r>
            <w:r>
              <w:rPr>
                <w:rFonts w:hint="eastAsia"/>
                <w:szCs w:val="21"/>
              </w:rPr>
              <w:t>年</w:t>
            </w:r>
            <w:r>
              <w:rPr>
                <w:szCs w:val="21"/>
                <w:u w:val="single"/>
              </w:rPr>
              <w:t>3</w:t>
            </w:r>
            <w:r>
              <w:rPr>
                <w:rFonts w:hint="eastAsia"/>
                <w:szCs w:val="21"/>
                <w:u w:val="single"/>
              </w:rPr>
              <w:t xml:space="preserve"> </w:t>
            </w:r>
            <w:r>
              <w:rPr>
                <w:rFonts w:hint="eastAsia"/>
                <w:szCs w:val="21"/>
              </w:rPr>
              <w:t>月</w:t>
            </w:r>
            <w:r>
              <w:rPr>
                <w:rFonts w:hint="eastAsia"/>
                <w:szCs w:val="21"/>
                <w:u w:val="single"/>
              </w:rPr>
              <w:t xml:space="preserve">  </w:t>
            </w:r>
            <w:r>
              <w:rPr>
                <w:szCs w:val="21"/>
                <w:u w:val="single"/>
              </w:rPr>
              <w:t>11</w:t>
            </w:r>
            <w:r>
              <w:rPr>
                <w:rFonts w:hint="eastAsia"/>
                <w:szCs w:val="21"/>
                <w:u w:val="single"/>
              </w:rPr>
              <w:t xml:space="preserve">  </w:t>
            </w:r>
            <w:r>
              <w:rPr>
                <w:rFonts w:hint="eastAsia"/>
                <w:szCs w:val="21"/>
              </w:rPr>
              <w:t>日</w:t>
            </w:r>
            <w:r>
              <w:rPr>
                <w:rFonts w:hint="eastAsia"/>
              </w:rPr>
              <w:t>验证和测试可追溯性体系的有效性。</w:t>
            </w:r>
          </w:p>
          <w:p>
            <w:r>
              <w:t>追溯</w:t>
            </w:r>
            <w:r>
              <w:rPr>
                <w:rFonts w:hint="eastAsia"/>
              </w:rPr>
              <w:t>原因：</w:t>
            </w:r>
            <w:r>
              <w:rPr>
                <w:rFonts w:hint="eastAsia"/>
              </w:rPr>
              <w:sym w:font="Wingdings" w:char="00FE"/>
            </w:r>
            <w:r>
              <w:rPr>
                <w:rFonts w:hint="eastAsia"/>
              </w:rPr>
              <w:t xml:space="preserve">演练  </w:t>
            </w:r>
            <w:r>
              <w:rPr>
                <w:rFonts w:hint="eastAsia"/>
              </w:rPr>
              <w:sym w:font="Wingdings" w:char="00A8"/>
            </w:r>
            <w:r>
              <w:rPr>
                <w:rFonts w:hint="eastAsia"/>
              </w:rPr>
              <w:t xml:space="preserve">质量事故 </w:t>
            </w:r>
            <w:r>
              <w:rPr>
                <w:rFonts w:hint="eastAsia"/>
              </w:rPr>
              <w:sym w:font="Wingdings" w:char="00A8"/>
            </w:r>
            <w:r>
              <w:rPr>
                <w:rFonts w:hint="eastAsia"/>
              </w:rPr>
              <w:t xml:space="preserve">顾客投诉  </w:t>
            </w:r>
            <w:r>
              <w:rPr>
                <w:rFonts w:hint="eastAsia"/>
              </w:rPr>
              <w:sym w:font="Wingdings" w:char="00A8"/>
            </w:r>
            <w:r>
              <w:rPr>
                <w:rFonts w:hint="eastAsia"/>
              </w:rPr>
              <w:t xml:space="preserve">市场抽查不合格 </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626"/>
              <w:gridCol w:w="1377"/>
              <w:gridCol w:w="1233"/>
              <w:gridCol w:w="1360"/>
              <w:gridCol w:w="129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tcPr>
                <w:p>
                  <w:r>
                    <w:rPr>
                      <w:rFonts w:hint="eastAsia"/>
                    </w:rPr>
                    <w:t>产品批号</w:t>
                  </w:r>
                </w:p>
              </w:tc>
              <w:tc>
                <w:tcPr>
                  <w:tcW w:w="1626" w:type="dxa"/>
                </w:tcPr>
                <w:p>
                  <w:r>
                    <w:rPr>
                      <w:rFonts w:hint="eastAsia"/>
                    </w:rPr>
                    <w:t>不合格简述</w:t>
                  </w:r>
                </w:p>
              </w:tc>
              <w:tc>
                <w:tcPr>
                  <w:tcW w:w="1377" w:type="dxa"/>
                </w:tcPr>
                <w:p>
                  <w:r>
                    <w:t>生产记录</w:t>
                  </w:r>
                  <w:r>
                    <w:rPr>
                      <w:rFonts w:hint="eastAsia"/>
                    </w:rPr>
                    <w:t>情况</w:t>
                  </w:r>
                </w:p>
              </w:tc>
              <w:tc>
                <w:tcPr>
                  <w:tcW w:w="1233" w:type="dxa"/>
                </w:tcPr>
                <w:p>
                  <w:r>
                    <w:t>检验记录</w:t>
                  </w:r>
                  <w:r>
                    <w:rPr>
                      <w:rFonts w:hint="eastAsia"/>
                    </w:rPr>
                    <w:t>情况</w:t>
                  </w:r>
                </w:p>
              </w:tc>
              <w:tc>
                <w:tcPr>
                  <w:tcW w:w="1360" w:type="dxa"/>
                </w:tcPr>
                <w:p>
                  <w:r>
                    <w:t>采购记录</w:t>
                  </w:r>
                  <w:r>
                    <w:rPr>
                      <w:rFonts w:hint="eastAsia"/>
                    </w:rPr>
                    <w:t>情况</w:t>
                  </w:r>
                </w:p>
              </w:tc>
              <w:tc>
                <w:tcPr>
                  <w:tcW w:w="1290" w:type="dxa"/>
                </w:tcPr>
                <w:p>
                  <w:r>
                    <w:t>产品留样</w:t>
                  </w:r>
                  <w:r>
                    <w:rPr>
                      <w:rFonts w:hint="eastAsia"/>
                    </w:rPr>
                    <w:t>确认</w:t>
                  </w:r>
                </w:p>
              </w:tc>
              <w:tc>
                <w:tcPr>
                  <w:tcW w:w="1320" w:type="dxa"/>
                </w:tcPr>
                <w:p>
                  <w:r>
                    <w:t>销售记录</w:t>
                  </w:r>
                  <w:r>
                    <w:rPr>
                      <w:rFonts w:hint="eastAsia"/>
                    </w:rPr>
                    <w:t>追踪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tcPr>
                <w:p>
                  <w:r>
                    <w:t>2022.3.10</w:t>
                  </w:r>
                  <w:r>
                    <w:rPr>
                      <w:rFonts w:hint="eastAsia"/>
                    </w:rPr>
                    <w:t>八角</w:t>
                  </w:r>
                </w:p>
              </w:tc>
              <w:tc>
                <w:tcPr>
                  <w:tcW w:w="1626" w:type="dxa"/>
                </w:tcPr>
                <w:p>
                  <w:r>
                    <w:rPr>
                      <w:rFonts w:hint="eastAsia"/>
                    </w:rPr>
                    <w:t>八角包装袋在X</w:t>
                  </w:r>
                  <w:r>
                    <w:t>X</w:t>
                  </w:r>
                  <w:r>
                    <w:rPr>
                      <w:rFonts w:hint="eastAsia"/>
                    </w:rPr>
                    <w:t>超市发生霉变远程</w:t>
                  </w:r>
                </w:p>
              </w:tc>
              <w:tc>
                <w:tcPr>
                  <w:tcW w:w="1377" w:type="dxa"/>
                </w:tcPr>
                <w:p>
                  <w:r>
                    <w:rPr>
                      <w:rFonts w:hint="eastAsia"/>
                    </w:rPr>
                    <w:t>202</w:t>
                  </w:r>
                  <w:r>
                    <w:t>2</w:t>
                  </w:r>
                  <w:r>
                    <w:rPr>
                      <w:rFonts w:hint="eastAsia"/>
                    </w:rPr>
                    <w:t>.0</w:t>
                  </w:r>
                  <w:r>
                    <w:t>3</w:t>
                  </w:r>
                  <w:r>
                    <w:rPr>
                      <w:rFonts w:hint="eastAsia"/>
                    </w:rPr>
                    <w:t>.</w:t>
                  </w:r>
                  <w:r>
                    <w:t>07</w:t>
                  </w:r>
                  <w:r>
                    <w:rPr>
                      <w:rFonts w:hint="eastAsia"/>
                    </w:rPr>
                    <w:t>；入库时间为2</w:t>
                  </w:r>
                  <w:r>
                    <w:t>022</w:t>
                  </w:r>
                  <w:r>
                    <w:rPr>
                      <w:rFonts w:hint="eastAsia"/>
                    </w:rPr>
                    <w:t>年3月1</w:t>
                  </w:r>
                  <w:r>
                    <w:t>0</w:t>
                  </w:r>
                  <w:r>
                    <w:rPr>
                      <w:rFonts w:hint="eastAsia"/>
                    </w:rPr>
                    <w:t>日，保存1</w:t>
                  </w:r>
                  <w:r>
                    <w:t>0</w:t>
                  </w:r>
                  <w:r>
                    <w:rPr>
                      <w:rFonts w:hint="eastAsia"/>
                    </w:rPr>
                    <w:t>天</w:t>
                  </w:r>
                </w:p>
              </w:tc>
              <w:tc>
                <w:tcPr>
                  <w:tcW w:w="1233" w:type="dxa"/>
                </w:tcPr>
                <w:p>
                  <w:r>
                    <w:rPr>
                      <w:rFonts w:hint="eastAsia"/>
                    </w:rPr>
                    <w:t>未体现</w:t>
                  </w:r>
                </w:p>
              </w:tc>
              <w:tc>
                <w:tcPr>
                  <w:tcW w:w="1360" w:type="dxa"/>
                </w:tcPr>
                <w:p>
                  <w:r>
                    <w:rPr>
                      <w:rFonts w:hint="eastAsia"/>
                    </w:rPr>
                    <w:t>未体现</w:t>
                  </w:r>
                </w:p>
              </w:tc>
              <w:tc>
                <w:tcPr>
                  <w:tcW w:w="1290" w:type="dxa"/>
                </w:tcPr>
                <w:p>
                  <w:r>
                    <w:rPr>
                      <w:rFonts w:hint="eastAsia"/>
                    </w:rPr>
                    <w:t>未体现</w:t>
                  </w:r>
                </w:p>
              </w:tc>
              <w:tc>
                <w:tcPr>
                  <w:tcW w:w="1320" w:type="dxa"/>
                </w:tcPr>
                <w:p>
                  <w:r>
                    <w:rPr>
                      <w:rFonts w:hint="eastAsia"/>
                    </w:rPr>
                    <w:t>1</w:t>
                  </w:r>
                  <w:r>
                    <w:t>00</w:t>
                  </w:r>
                  <w:r>
                    <w:rPr>
                      <w:rFonts w:hint="eastAsia"/>
                    </w:rPr>
                    <w:t>袋共5</w:t>
                  </w:r>
                  <w:r>
                    <w:t>0</w:t>
                  </w:r>
                  <w:r>
                    <w:rPr>
                      <w:rFonts w:hint="eastAsia"/>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tcPr>
                <w:p/>
              </w:tc>
              <w:tc>
                <w:tcPr>
                  <w:tcW w:w="1626" w:type="dxa"/>
                </w:tcPr>
                <w:p/>
              </w:tc>
              <w:tc>
                <w:tcPr>
                  <w:tcW w:w="1377" w:type="dxa"/>
                </w:tcPr>
                <w:p/>
              </w:tc>
              <w:tc>
                <w:tcPr>
                  <w:tcW w:w="1233" w:type="dxa"/>
                </w:tcPr>
                <w:p/>
              </w:tc>
              <w:tc>
                <w:tcPr>
                  <w:tcW w:w="1360" w:type="dxa"/>
                </w:tcPr>
                <w:p/>
              </w:tc>
              <w:tc>
                <w:tcPr>
                  <w:tcW w:w="1290" w:type="dxa"/>
                </w:tcPr>
                <w:p/>
              </w:tc>
              <w:tc>
                <w:tcPr>
                  <w:tcW w:w="13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tcPr>
                <w:p/>
              </w:tc>
              <w:tc>
                <w:tcPr>
                  <w:tcW w:w="1626" w:type="dxa"/>
                </w:tcPr>
                <w:p/>
              </w:tc>
              <w:tc>
                <w:tcPr>
                  <w:tcW w:w="1377" w:type="dxa"/>
                </w:tcPr>
                <w:p/>
              </w:tc>
              <w:tc>
                <w:tcPr>
                  <w:tcW w:w="1233" w:type="dxa"/>
                </w:tcPr>
                <w:p/>
              </w:tc>
              <w:tc>
                <w:tcPr>
                  <w:tcW w:w="1360" w:type="dxa"/>
                </w:tcPr>
                <w:p/>
              </w:tc>
              <w:tc>
                <w:tcPr>
                  <w:tcW w:w="1290" w:type="dxa"/>
                </w:tcPr>
                <w:p/>
              </w:tc>
              <w:tc>
                <w:tcPr>
                  <w:tcW w:w="1320" w:type="dxa"/>
                </w:tcPr>
                <w:p/>
              </w:tc>
            </w:tr>
          </w:tbl>
          <w:p>
            <w:r>
              <w:rPr>
                <w:rFonts w:hint="eastAsia"/>
                <w:highlight w:val="yellow"/>
              </w:rPr>
              <w:t>在召回追溯演练信息中生产为3月7日，入库日期3月1</w:t>
            </w:r>
            <w:r>
              <w:rPr>
                <w:highlight w:val="yellow"/>
              </w:rPr>
              <w:t>0</w:t>
            </w:r>
            <w:r>
              <w:rPr>
                <w:rFonts w:hint="eastAsia"/>
                <w:highlight w:val="yellow"/>
              </w:rPr>
              <w:t>日，库内保存1</w:t>
            </w:r>
            <w:r>
              <w:rPr>
                <w:highlight w:val="yellow"/>
              </w:rPr>
              <w:t>0</w:t>
            </w:r>
            <w:r>
              <w:rPr>
                <w:rFonts w:hint="eastAsia"/>
                <w:highlight w:val="yellow"/>
              </w:rPr>
              <w:t>天。同时演练中提到X</w:t>
            </w:r>
            <w:r>
              <w:rPr>
                <w:highlight w:val="yellow"/>
              </w:rPr>
              <w:t>X</w:t>
            </w:r>
            <w:r>
              <w:rPr>
                <w:rFonts w:hint="eastAsia"/>
                <w:highlight w:val="yellow"/>
              </w:rPr>
              <w:t>地区总代理是3月</w:t>
            </w:r>
            <w:r>
              <w:rPr>
                <w:highlight w:val="yellow"/>
              </w:rPr>
              <w:t>9</w:t>
            </w:r>
            <w:r>
              <w:rPr>
                <w:rFonts w:hint="eastAsia"/>
                <w:highlight w:val="yellow"/>
              </w:rPr>
              <w:t>日购进的八角；3月1</w:t>
            </w:r>
            <w:r>
              <w:rPr>
                <w:highlight w:val="yellow"/>
              </w:rPr>
              <w:t>0</w:t>
            </w:r>
            <w:r>
              <w:rPr>
                <w:rFonts w:hint="eastAsia"/>
                <w:highlight w:val="yellow"/>
              </w:rPr>
              <w:t>日在X</w:t>
            </w:r>
            <w:r>
              <w:rPr>
                <w:highlight w:val="yellow"/>
              </w:rPr>
              <w:t>X</w:t>
            </w:r>
            <w:r>
              <w:rPr>
                <w:rFonts w:hint="eastAsia"/>
                <w:highlight w:val="yellow"/>
              </w:rPr>
              <w:t>超市，存在不准确的情况，沟通。</w:t>
            </w:r>
          </w:p>
          <w:p>
            <w:r>
              <w:t>可追溯性系统证据的保留期限</w:t>
            </w:r>
            <w:r>
              <w:rPr>
                <w:u w:val="single"/>
              </w:rPr>
              <w:t xml:space="preserve"> </w:t>
            </w:r>
            <w:r>
              <w:rPr>
                <w:rFonts w:hint="eastAsia"/>
                <w:u w:val="single"/>
              </w:rPr>
              <w:t>24</w:t>
            </w:r>
            <w:r>
              <w:rPr>
                <w:u w:val="single"/>
              </w:rPr>
              <w:t xml:space="preserve"> </w:t>
            </w:r>
            <w:r>
              <w:t xml:space="preserve">个月，至少包括产品的保质期 </w:t>
            </w:r>
            <w:r>
              <w:rPr>
                <w:rFonts w:hint="eastAsia"/>
                <w:u w:val="single"/>
              </w:rPr>
              <w:t xml:space="preserve">12 </w:t>
            </w:r>
            <w:r>
              <w:rPr>
                <w:u w:val="single"/>
              </w:rPr>
              <w:t xml:space="preserve"> </w:t>
            </w:r>
            <w:r>
              <w:t>个月。</w:t>
            </w:r>
          </w:p>
          <w:p/>
          <w:p>
            <w:r>
              <w:t>产品留样</w:t>
            </w:r>
            <w:r>
              <w:rPr>
                <w:rFonts w:hint="eastAsia"/>
                <w:highlight w:val="yellow"/>
              </w:rPr>
              <w:t>（仅保留进货原料的留样，未保留成品/产品的留样信息，沟通）</w:t>
            </w:r>
            <w:r>
              <w:rPr>
                <w:rFonts w:hint="eastAsia"/>
                <w:highlight w:val="yellow"/>
                <w:lang w:eastAsia="zh-CN"/>
              </w:rPr>
              <w:t>，</w:t>
            </w:r>
            <w:r>
              <w:rPr>
                <w:rFonts w:hint="eastAsia"/>
                <w:highlight w:val="yellow"/>
                <w:lang w:val="en-US" w:eastAsia="zh-CN"/>
              </w:rPr>
              <w:t>随机抽取原料留样</w:t>
            </w:r>
            <w:r>
              <w:rPr>
                <w:rFonts w:hint="eastAsia"/>
              </w:rPr>
              <w:t>：</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808"/>
              <w:gridCol w:w="1809"/>
              <w:gridCol w:w="1809"/>
              <w:gridCol w:w="1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r>
                    <w:t>产品名称</w:t>
                  </w:r>
                </w:p>
              </w:tc>
              <w:tc>
                <w:tcPr>
                  <w:tcW w:w="1808" w:type="dxa"/>
                </w:tcPr>
                <w:p>
                  <w:r>
                    <w:t>规格</w:t>
                  </w:r>
                </w:p>
              </w:tc>
              <w:tc>
                <w:tcPr>
                  <w:tcW w:w="1809" w:type="dxa"/>
                </w:tcPr>
                <w:p>
                  <w:r>
                    <w:t>生产日期</w:t>
                  </w:r>
                  <w:r>
                    <w:rPr>
                      <w:rFonts w:hint="eastAsia"/>
                    </w:rPr>
                    <w:t>/批号</w:t>
                  </w:r>
                </w:p>
              </w:tc>
              <w:tc>
                <w:tcPr>
                  <w:tcW w:w="1809" w:type="dxa"/>
                </w:tcPr>
                <w:p>
                  <w:r>
                    <w:t>保存期限</w:t>
                  </w:r>
                </w:p>
              </w:tc>
              <w:tc>
                <w:tcPr>
                  <w:tcW w:w="1809" w:type="dxa"/>
                </w:tcPr>
                <w:p>
                  <w:r>
                    <w:t>保存状态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r>
                    <w:rPr>
                      <w:rFonts w:hint="eastAsia"/>
                    </w:rPr>
                    <w:t>八角</w:t>
                  </w:r>
                </w:p>
              </w:tc>
              <w:tc>
                <w:tcPr>
                  <w:tcW w:w="1808" w:type="dxa"/>
                </w:tcPr>
                <w:p>
                  <w:r>
                    <w:rPr>
                      <w:rFonts w:hint="eastAsia"/>
                    </w:rPr>
                    <w:t>300g</w:t>
                  </w:r>
                </w:p>
              </w:tc>
              <w:tc>
                <w:tcPr>
                  <w:tcW w:w="1809" w:type="dxa"/>
                </w:tcPr>
                <w:p>
                  <w:r>
                    <w:rPr>
                      <w:rFonts w:hint="eastAsia"/>
                    </w:rPr>
                    <w:t>202</w:t>
                  </w:r>
                  <w:r>
                    <w:t>11122</w:t>
                  </w:r>
                  <w:r>
                    <w:rPr>
                      <w:rFonts w:hint="eastAsia"/>
                    </w:rPr>
                    <w:t>01</w:t>
                  </w:r>
                </w:p>
              </w:tc>
              <w:tc>
                <w:tcPr>
                  <w:tcW w:w="1809" w:type="dxa"/>
                </w:tcPr>
                <w:p>
                  <w:r>
                    <w:rPr>
                      <w:rFonts w:hint="eastAsia"/>
                    </w:rPr>
                    <w:t>12个月</w:t>
                  </w:r>
                </w:p>
              </w:tc>
              <w:tc>
                <w:tcPr>
                  <w:tcW w:w="1809" w:type="dxa"/>
                </w:tcPr>
                <w:p>
                  <w:r>
                    <w:rPr>
                      <w:rFonts w:hint="eastAsia"/>
                    </w:rPr>
                    <w:t>常温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r>
                    <w:rPr>
                      <w:rFonts w:hint="eastAsia"/>
                    </w:rPr>
                    <w:t>青花椒</w:t>
                  </w:r>
                </w:p>
              </w:tc>
              <w:tc>
                <w:tcPr>
                  <w:tcW w:w="1808" w:type="dxa"/>
                </w:tcPr>
                <w:p>
                  <w:r>
                    <w:rPr>
                      <w:rFonts w:hint="eastAsia"/>
                    </w:rPr>
                    <w:t>300g</w:t>
                  </w:r>
                </w:p>
              </w:tc>
              <w:tc>
                <w:tcPr>
                  <w:tcW w:w="1809" w:type="dxa"/>
                </w:tcPr>
                <w:p>
                  <w:r>
                    <w:rPr>
                      <w:rFonts w:hint="eastAsia"/>
                    </w:rPr>
                    <w:t>202</w:t>
                  </w:r>
                  <w:r>
                    <w:t>2</w:t>
                  </w:r>
                  <w:r>
                    <w:rPr>
                      <w:rFonts w:hint="eastAsia"/>
                    </w:rPr>
                    <w:t>081101</w:t>
                  </w:r>
                </w:p>
              </w:tc>
              <w:tc>
                <w:tcPr>
                  <w:tcW w:w="1809" w:type="dxa"/>
                </w:tcPr>
                <w:p>
                  <w:r>
                    <w:rPr>
                      <w:rFonts w:hint="eastAsia"/>
                    </w:rPr>
                    <w:t>12个月</w:t>
                  </w:r>
                </w:p>
              </w:tc>
              <w:tc>
                <w:tcPr>
                  <w:tcW w:w="1809" w:type="dxa"/>
                </w:tcPr>
                <w:p>
                  <w:r>
                    <w:rPr>
                      <w:rFonts w:hint="eastAsia"/>
                    </w:rPr>
                    <w:t>常温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r>
                    <w:rPr>
                      <w:rFonts w:hint="eastAsia"/>
                    </w:rPr>
                    <w:t>桂皮</w:t>
                  </w:r>
                </w:p>
              </w:tc>
              <w:tc>
                <w:tcPr>
                  <w:tcW w:w="1808" w:type="dxa"/>
                </w:tcPr>
                <w:p>
                  <w:r>
                    <w:rPr>
                      <w:rFonts w:hint="eastAsia"/>
                    </w:rPr>
                    <w:t>300g</w:t>
                  </w:r>
                </w:p>
              </w:tc>
              <w:tc>
                <w:tcPr>
                  <w:tcW w:w="1809" w:type="dxa"/>
                </w:tcPr>
                <w:p>
                  <w:r>
                    <w:rPr>
                      <w:rFonts w:hint="eastAsia"/>
                    </w:rPr>
                    <w:t>202</w:t>
                  </w:r>
                  <w:r>
                    <w:t>21009</w:t>
                  </w:r>
                  <w:r>
                    <w:rPr>
                      <w:rFonts w:hint="eastAsia"/>
                    </w:rPr>
                    <w:t>04</w:t>
                  </w:r>
                </w:p>
              </w:tc>
              <w:tc>
                <w:tcPr>
                  <w:tcW w:w="1809" w:type="dxa"/>
                </w:tcPr>
                <w:p>
                  <w:r>
                    <w:rPr>
                      <w:rFonts w:hint="eastAsia"/>
                    </w:rPr>
                    <w:t>12个月</w:t>
                  </w:r>
                </w:p>
              </w:tc>
              <w:tc>
                <w:tcPr>
                  <w:tcW w:w="1809" w:type="dxa"/>
                </w:tcPr>
                <w:p>
                  <w:r>
                    <w:rPr>
                      <w:rFonts w:hint="eastAsia"/>
                    </w:rPr>
                    <w:t>常温</w:t>
                  </w:r>
                </w:p>
              </w:tc>
            </w:tr>
          </w:tbl>
          <w:p/>
          <w:p>
            <w:r>
              <w:t>系统的验证包括最终产品数量与成分数量的核对，作为追溯性有效性的证据。</w:t>
            </w:r>
            <w:r>
              <w:rPr/>
              <w:sym w:font="Wingdings" w:char="00FE"/>
            </w:r>
            <w:r>
              <w:t xml:space="preserve">是  </w:t>
            </w:r>
            <w:r>
              <w:rPr/>
              <w:sym w:font="Wingdings" w:char="00A8"/>
            </w:r>
            <w:r>
              <w:t>否</w:t>
            </w:r>
          </w:p>
          <w:p>
            <w:pPr>
              <w:pStyle w:val="11"/>
              <w:rPr>
                <w:rFonts w:ascii="Times New Roman" w:hAnsi="Times New Roman"/>
              </w:rPr>
            </w:pPr>
          </w:p>
        </w:tc>
        <w:tc>
          <w:tcPr>
            <w:tcW w:w="1290"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197" w:type="dxa"/>
            <w:gridSpan w:val="3"/>
            <w:vMerge w:val="continue"/>
          </w:tcPr>
          <w:p/>
        </w:tc>
        <w:tc>
          <w:tcPr>
            <w:tcW w:w="922" w:type="dxa"/>
            <w:vMerge w:val="continue"/>
          </w:tcPr>
          <w:p/>
        </w:tc>
        <w:tc>
          <w:tcPr>
            <w:tcW w:w="745" w:type="dxa"/>
          </w:tcPr>
          <w:p>
            <w:r>
              <w:t>远程观察</w:t>
            </w:r>
          </w:p>
        </w:tc>
        <w:tc>
          <w:tcPr>
            <w:tcW w:w="9523" w:type="dxa"/>
          </w:tcPr>
          <w:p>
            <w:r>
              <w:t>在生产或服务场所对原材料的标识情况：</w:t>
            </w:r>
            <w:r>
              <w:fldChar w:fldCharType="begin"/>
            </w:r>
            <w:r>
              <w:instrText xml:space="preserve"> eq \o\ac(□,√)</w:instrText>
            </w:r>
            <w:r>
              <w:fldChar w:fldCharType="end"/>
            </w:r>
            <w:r>
              <w:t xml:space="preserve">区分清楚  </w:t>
            </w:r>
            <w:r>
              <w:fldChar w:fldCharType="begin"/>
            </w:r>
            <w:r>
              <w:instrText xml:space="preserve"> eq \o\ac(□,√)</w:instrText>
            </w:r>
            <w:r>
              <w:fldChar w:fldCharType="end"/>
            </w:r>
            <w:r>
              <w:t xml:space="preserve">防护得当 </w:t>
            </w:r>
            <w:r>
              <w:rPr/>
              <w:sym w:font="Wingdings" w:char="00A8"/>
            </w:r>
            <w:r>
              <w:t>不适宜说明</w:t>
            </w:r>
            <w:r>
              <w:rPr>
                <w:rFonts w:hint="eastAsia"/>
              </w:rPr>
              <w:t>：</w:t>
            </w:r>
          </w:p>
          <w:p>
            <w:r>
              <w:t>在生产或服务场所对半成品的标识情况：</w:t>
            </w:r>
            <w:r>
              <w:rPr/>
              <w:sym w:font="Wingdings" w:char="00FE"/>
            </w:r>
            <w:r>
              <w:t xml:space="preserve">区分清楚  </w:t>
            </w:r>
            <w:r>
              <w:rPr/>
              <w:sym w:font="Wingdings" w:char="00FE"/>
            </w:r>
            <w:r>
              <w:t xml:space="preserve">防护得当 </w:t>
            </w:r>
            <w:r>
              <w:rPr/>
              <w:sym w:font="Wingdings" w:char="00A8"/>
            </w:r>
            <w:r>
              <w:t xml:space="preserve">不适宜说明： </w:t>
            </w:r>
          </w:p>
          <w:p>
            <w:r>
              <w:t xml:space="preserve">在生产或服务场所对成品的标识情况：  </w:t>
            </w:r>
            <w:r>
              <w:fldChar w:fldCharType="begin"/>
            </w:r>
            <w:r>
              <w:instrText xml:space="preserve"> eq \o\ac(□,√)</w:instrText>
            </w:r>
            <w:r>
              <w:fldChar w:fldCharType="end"/>
            </w:r>
            <w:r>
              <w:t xml:space="preserve">区分清楚  </w:t>
            </w:r>
            <w:r>
              <w:fldChar w:fldCharType="begin"/>
            </w:r>
            <w:r>
              <w:instrText xml:space="preserve"> eq \o\ac(□,√)</w:instrText>
            </w:r>
            <w:r>
              <w:fldChar w:fldCharType="end"/>
            </w:r>
            <w:r>
              <w:t xml:space="preserve">防护得当 </w:t>
            </w:r>
            <w:r>
              <w:rPr/>
              <w:sym w:font="Wingdings" w:char="00A8"/>
            </w:r>
            <w:r>
              <w:t>不适宜说明：</w:t>
            </w:r>
          </w:p>
          <w:p>
            <w:pPr>
              <w:rPr>
                <w:highlight w:val="yellow"/>
              </w:rPr>
            </w:pPr>
          </w:p>
          <w:p>
            <w:r>
              <w:t>在原材料库房的标识情况：</w:t>
            </w:r>
            <w:r>
              <w:fldChar w:fldCharType="begin"/>
            </w:r>
            <w:r>
              <w:instrText xml:space="preserve"> eq \o\ac(□,√)</w:instrText>
            </w:r>
            <w:r>
              <w:fldChar w:fldCharType="end"/>
            </w:r>
            <w:r>
              <w:t xml:space="preserve">区分清楚  </w:t>
            </w:r>
            <w:r>
              <w:fldChar w:fldCharType="begin"/>
            </w:r>
            <w:r>
              <w:instrText xml:space="preserve"> eq \o\ac(□,√)</w:instrText>
            </w:r>
            <w:r>
              <w:fldChar w:fldCharType="end"/>
            </w:r>
            <w:r>
              <w:t xml:space="preserve">防护得当 </w:t>
            </w:r>
            <w:r>
              <w:rPr/>
              <w:sym w:font="Wingdings" w:char="00A8"/>
            </w:r>
            <w:r>
              <w:t>不适宜说明：</w:t>
            </w:r>
          </w:p>
          <w:p>
            <w:pPr>
              <w:rPr>
                <w:u w:val="single"/>
              </w:rPr>
            </w:pPr>
            <w:r>
              <w:t>在半成品库房的标识情况：</w:t>
            </w:r>
            <w:r>
              <w:rPr/>
              <w:sym w:font="Wingdings" w:char="00A8"/>
            </w:r>
            <w:r>
              <w:t xml:space="preserve">区分清楚  </w:t>
            </w:r>
            <w:r>
              <w:rPr/>
              <w:sym w:font="Wingdings" w:char="00A8"/>
            </w:r>
            <w:r>
              <w:t xml:space="preserve">防护得当 </w:t>
            </w:r>
            <w:r>
              <w:rPr/>
              <w:sym w:font="Wingdings" w:char="00FE"/>
            </w:r>
            <w:r>
              <w:t>不适宜说明：</w:t>
            </w:r>
            <w:r>
              <w:rPr>
                <w:rFonts w:hint="eastAsia"/>
              </w:rPr>
              <w:t>（不适用）</w:t>
            </w:r>
          </w:p>
          <w:p>
            <w:r>
              <w:t xml:space="preserve">在成品库房的标识情况：  </w:t>
            </w:r>
            <w:r>
              <w:fldChar w:fldCharType="begin"/>
            </w:r>
            <w:r>
              <w:instrText xml:space="preserve"> eq \o\ac(□,√)</w:instrText>
            </w:r>
            <w:r>
              <w:fldChar w:fldCharType="end"/>
            </w:r>
            <w:r>
              <w:t xml:space="preserve">区分清楚  </w:t>
            </w:r>
            <w:r>
              <w:fldChar w:fldCharType="begin"/>
            </w:r>
            <w:r>
              <w:instrText xml:space="preserve"> eq \o\ac(□,√)</w:instrText>
            </w:r>
            <w:r>
              <w:fldChar w:fldCharType="end"/>
            </w:r>
            <w:r>
              <w:t xml:space="preserve">防护得当 </w:t>
            </w:r>
            <w:r>
              <w:rPr/>
              <w:sym w:font="Wingdings" w:char="00A8"/>
            </w:r>
            <w:r>
              <w:t>不适宜说明：</w:t>
            </w:r>
          </w:p>
        </w:tc>
        <w:tc>
          <w:tcPr>
            <w:tcW w:w="1290"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86" w:hRule="atLeast"/>
        </w:trPr>
        <w:tc>
          <w:tcPr>
            <w:tcW w:w="2174" w:type="dxa"/>
            <w:vMerge w:val="restart"/>
            <w:shd w:val="clear" w:color="auto" w:fill="auto"/>
          </w:tcPr>
          <w:p>
            <w:r>
              <w:t>实施危害分析的预备步骤</w:t>
            </w:r>
          </w:p>
        </w:tc>
        <w:tc>
          <w:tcPr>
            <w:tcW w:w="936" w:type="dxa"/>
            <w:gridSpan w:val="2"/>
            <w:vMerge w:val="restart"/>
            <w:shd w:val="clear" w:color="auto" w:fill="auto"/>
          </w:tcPr>
          <w:p>
            <w:r>
              <w:t>F8.5.1</w:t>
            </w:r>
          </w:p>
          <w:p/>
        </w:tc>
        <w:tc>
          <w:tcPr>
            <w:tcW w:w="745" w:type="dxa"/>
            <w:shd w:val="clear" w:color="auto" w:fill="auto"/>
          </w:tcPr>
          <w:p>
            <w:r>
              <w:t>文件名称</w:t>
            </w:r>
          </w:p>
        </w:tc>
        <w:tc>
          <w:tcPr>
            <w:tcW w:w="9523" w:type="dxa"/>
            <w:shd w:val="clear" w:color="auto" w:fill="auto"/>
          </w:tcPr>
          <w:p>
            <w:r>
              <w:t>如：</w:t>
            </w:r>
            <w:r>
              <w:fldChar w:fldCharType="begin"/>
            </w:r>
            <w:r>
              <w:instrText xml:space="preserve"> eq \o\ac(□,√)</w:instrText>
            </w:r>
            <w:r>
              <w:fldChar w:fldCharType="end"/>
            </w:r>
            <w:r>
              <w:rPr>
                <w:rFonts w:hint="eastAsia"/>
              </w:rPr>
              <w:t>手册8.5条款、</w:t>
            </w:r>
            <w:r>
              <w:fldChar w:fldCharType="begin"/>
            </w:r>
            <w:r>
              <w:instrText xml:space="preserve"> eq \o\ac(□,√)</w:instrText>
            </w:r>
            <w:r>
              <w:fldChar w:fldCharType="end"/>
            </w:r>
            <w:r>
              <w:t>《危害分析和预防措施程序》</w:t>
            </w:r>
            <w:r>
              <w:rPr>
                <w:rFonts w:hint="eastAsia"/>
              </w:rPr>
              <w:t>、</w:t>
            </w:r>
            <w:r>
              <w:fldChar w:fldCharType="begin"/>
            </w:r>
            <w:r>
              <w:instrText xml:space="preserve"> eq \o\ac(□,√)</w:instrText>
            </w:r>
            <w:r>
              <w:fldChar w:fldCharType="end"/>
            </w:r>
            <w:r>
              <w:rPr>
                <w:rFonts w:hint="eastAsia"/>
              </w:rPr>
              <w:t>《危害控制计划》</w:t>
            </w:r>
          </w:p>
        </w:tc>
        <w:tc>
          <w:tcPr>
            <w:tcW w:w="1290" w:type="dxa"/>
            <w:vMerge w:val="restart"/>
            <w:shd w:val="clear" w:color="auto" w:fill="auto"/>
          </w:tcPr>
          <w:p>
            <w:r>
              <w:fldChar w:fldCharType="begin"/>
            </w:r>
            <w:r>
              <w:instrText xml:space="preserve"> eq \o\ac(□,√)</w:instrText>
            </w:r>
            <w:r>
              <w:fldChar w:fldCharType="end"/>
            </w:r>
            <w:r>
              <w:t>符合</w:t>
            </w:r>
          </w:p>
          <w:p>
            <w:r>
              <w:fldChar w:fldCharType="begin"/>
            </w:r>
            <w:r>
              <w:instrText xml:space="preserve"> eq \o\ac(□)</w:instrText>
            </w:r>
            <w:r>
              <w:fldChar w:fldCharType="end"/>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410"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t>运行证据</w:t>
            </w:r>
          </w:p>
        </w:tc>
        <w:tc>
          <w:tcPr>
            <w:tcW w:w="9523" w:type="dxa"/>
            <w:shd w:val="clear" w:color="auto" w:fill="auto"/>
          </w:tcPr>
          <w:p>
            <w:r>
              <w:t>食品安全小组为进行危害分析，收集、保持和更新初步形成文件的信息。包括但不限于：</w:t>
            </w:r>
          </w:p>
          <w:p>
            <w:r>
              <w:fldChar w:fldCharType="begin"/>
            </w:r>
            <w:r>
              <w:instrText xml:space="preserve"> eq \o\ac(□,√)</w:instrText>
            </w:r>
            <w:r>
              <w:fldChar w:fldCharType="end"/>
            </w:r>
            <w:r>
              <w:t xml:space="preserve">适用的法律、法规      </w:t>
            </w:r>
            <w:r>
              <w:fldChar w:fldCharType="begin"/>
            </w:r>
            <w:r>
              <w:instrText xml:space="preserve"> eq \o\ac(□,√)</w:instrText>
            </w:r>
            <w:r>
              <w:fldChar w:fldCharType="end"/>
            </w:r>
            <w:r>
              <w:t xml:space="preserve">客户要求    </w:t>
            </w:r>
            <w:r>
              <w:fldChar w:fldCharType="begin"/>
            </w:r>
            <w:r>
              <w:instrText xml:space="preserve"> eq \o\ac(□,√)</w:instrText>
            </w:r>
            <w:r>
              <w:fldChar w:fldCharType="end"/>
            </w:r>
            <w:r>
              <w:t>组织的产品、过程和设备；</w:t>
            </w:r>
          </w:p>
          <w:p>
            <w:r>
              <w:fldChar w:fldCharType="begin"/>
            </w:r>
            <w:r>
              <w:instrText xml:space="preserve"> eq \o\ac(□,√)</w:instrText>
            </w:r>
            <w:r>
              <w:fldChar w:fldCharType="end"/>
            </w:r>
            <w:r>
              <w:t>与食品安全管理体系相关的食品安全危害。</w:t>
            </w:r>
          </w:p>
          <w:p/>
          <w:p>
            <w:pPr>
              <w:rPr>
                <w:b/>
                <w:bCs/>
              </w:rPr>
            </w:pPr>
            <w:r>
              <w:t>抽查</w:t>
            </w:r>
            <w:r>
              <w:rPr>
                <w:b/>
                <w:bCs/>
              </w:rPr>
              <w:t>原材料、辅料及产品接触材料《特性描述》</w:t>
            </w:r>
          </w:p>
          <w:p>
            <w:pPr>
              <w:rPr>
                <w:u w:val="single"/>
              </w:rPr>
            </w:pPr>
            <w:r>
              <w:t>原材料：</w:t>
            </w:r>
            <w:r>
              <w:rPr>
                <w:u w:val="single"/>
              </w:rPr>
              <w:t xml:space="preserve"> </w:t>
            </w:r>
            <w:r>
              <w:rPr>
                <w:rFonts w:hint="eastAsia"/>
                <w:u w:val="single"/>
              </w:rPr>
              <w:t>香辛料类（八角、桂皮、小茴香、香叶、草果、白芷、孜然粒、白胡椒等）、香辛料类（花椒、红花椒、大红袍花椒、红辣椒、小米椒、野山椒、线椒等）</w:t>
            </w:r>
            <w:r>
              <w:rPr>
                <w:u w:val="single"/>
              </w:rPr>
              <w:t xml:space="preserve">  </w:t>
            </w:r>
          </w:p>
          <w:p>
            <w:pPr>
              <w:rPr>
                <w:u w:val="single"/>
              </w:rPr>
            </w:pPr>
            <w:r>
              <w:t>食品添加剂：</w:t>
            </w:r>
            <w:r>
              <w:rPr>
                <w:u w:val="single"/>
              </w:rPr>
              <w:t xml:space="preserve">        无  </w:t>
            </w:r>
          </w:p>
          <w:p>
            <w:pPr>
              <w:rPr>
                <w:u w:val="single"/>
              </w:rPr>
            </w:pPr>
            <w:r>
              <w:t>辅助材料：</w:t>
            </w:r>
            <w:r>
              <w:rPr>
                <w:u w:val="single"/>
              </w:rPr>
              <w:t xml:space="preserve">      </w:t>
            </w:r>
            <w:r>
              <w:rPr>
                <w:rFonts w:hint="eastAsia"/>
                <w:u w:val="single"/>
              </w:rPr>
              <w:t>水</w:t>
            </w:r>
            <w:r>
              <w:rPr>
                <w:u w:val="single"/>
              </w:rPr>
              <w:t xml:space="preserve">     </w:t>
            </w:r>
          </w:p>
          <w:p>
            <w:pPr>
              <w:rPr>
                <w:u w:val="single"/>
              </w:rPr>
            </w:pPr>
            <w:r>
              <w:t>包装材料：</w:t>
            </w:r>
            <w:r>
              <w:rPr>
                <w:u w:val="single"/>
              </w:rPr>
              <w:t xml:space="preserve">   </w:t>
            </w:r>
            <w:r>
              <w:rPr>
                <w:rFonts w:hint="eastAsia"/>
                <w:u w:val="single"/>
              </w:rPr>
              <w:t>食品用复合袋、纸箱、编织袋</w:t>
            </w:r>
            <w:r>
              <w:rPr>
                <w:u w:val="single"/>
              </w:rPr>
              <w:t xml:space="preserve">      </w:t>
            </w:r>
          </w:p>
          <w:p>
            <w:pPr>
              <w:rPr>
                <w:u w:val="single"/>
              </w:rPr>
            </w:pPr>
          </w:p>
          <w:p>
            <w:r>
              <w:t>包括下列内容：</w:t>
            </w:r>
          </w:p>
          <w:p>
            <w:pPr>
              <w:rPr>
                <w:lang w:val="en-GB"/>
              </w:rPr>
            </w:pPr>
            <w:r>
              <w:fldChar w:fldCharType="begin"/>
            </w:r>
            <w:r>
              <w:instrText xml:space="preserve"> eq \o\ac(□,√)</w:instrText>
            </w:r>
            <w:r>
              <w:fldChar w:fldCharType="end"/>
            </w:r>
            <w:r>
              <w:rPr>
                <w:lang w:val="en-GB"/>
              </w:rPr>
              <w:t>生物、化学和物理特性；</w:t>
            </w:r>
          </w:p>
          <w:p>
            <w:pPr>
              <w:rPr>
                <w:lang w:val="en-GB"/>
              </w:rPr>
            </w:pPr>
            <w:r>
              <w:fldChar w:fldCharType="begin"/>
            </w:r>
            <w:r>
              <w:instrText xml:space="preserve"> eq \o\ac(□,√)</w:instrText>
            </w:r>
            <w:r>
              <w:fldChar w:fldCharType="end"/>
            </w:r>
            <w:r>
              <w:rPr>
                <w:lang w:val="en-GB"/>
              </w:rPr>
              <w:t xml:space="preserve"> 配方成分的组成，包括添加剂和加工助剂；</w:t>
            </w:r>
          </w:p>
          <w:p>
            <w:pPr>
              <w:rPr>
                <w:lang w:val="en-GB"/>
              </w:rPr>
            </w:pPr>
            <w:r>
              <w:fldChar w:fldCharType="begin"/>
            </w:r>
            <w:r>
              <w:instrText xml:space="preserve"> eq \o\ac(□,√)</w:instrText>
            </w:r>
            <w:r>
              <w:fldChar w:fldCharType="end"/>
            </w:r>
            <w:r>
              <w:rPr>
                <w:lang w:val="en-GB"/>
              </w:rPr>
              <w:t xml:space="preserve"> 来源（如动物、矿物或蔬菜）；</w:t>
            </w:r>
          </w:p>
          <w:p>
            <w:pPr>
              <w:rPr>
                <w:lang w:val="en-GB"/>
              </w:rPr>
            </w:pPr>
            <w:r>
              <w:fldChar w:fldCharType="begin"/>
            </w:r>
            <w:r>
              <w:instrText xml:space="preserve"> eq \o\ac(□,√)</w:instrText>
            </w:r>
            <w:r>
              <w:fldChar w:fldCharType="end"/>
            </w:r>
            <w:r>
              <w:rPr>
                <w:lang w:val="en-GB"/>
              </w:rPr>
              <w:t xml:space="preserve"> 产地（出处）；</w:t>
            </w:r>
          </w:p>
          <w:p>
            <w:pPr>
              <w:rPr>
                <w:lang w:val="en-GB"/>
              </w:rPr>
            </w:pPr>
            <w:r>
              <w:fldChar w:fldCharType="begin"/>
            </w:r>
            <w:r>
              <w:instrText xml:space="preserve"> eq \o\ac(□,√)</w:instrText>
            </w:r>
            <w:r>
              <w:fldChar w:fldCharType="end"/>
            </w:r>
            <w:r>
              <w:rPr>
                <w:lang w:val="en-GB"/>
              </w:rPr>
              <w:t xml:space="preserve"> 生产方法；</w:t>
            </w:r>
          </w:p>
          <w:p>
            <w:pPr>
              <w:rPr>
                <w:lang w:val="en-GB"/>
              </w:rPr>
            </w:pPr>
            <w:r>
              <w:fldChar w:fldCharType="begin"/>
            </w:r>
            <w:r>
              <w:instrText xml:space="preserve"> eq \o\ac(□,√)</w:instrText>
            </w:r>
            <w:r>
              <w:fldChar w:fldCharType="end"/>
            </w:r>
            <w:r>
              <w:rPr>
                <w:lang w:val="en-GB"/>
              </w:rPr>
              <w:t xml:space="preserve"> 包装和交付方式；</w:t>
            </w:r>
          </w:p>
          <w:p>
            <w:pPr>
              <w:rPr>
                <w:lang w:val="en-GB"/>
              </w:rPr>
            </w:pPr>
            <w:r>
              <w:fldChar w:fldCharType="begin"/>
            </w:r>
            <w:r>
              <w:instrText xml:space="preserve"> eq \o\ac(□,√)</w:instrText>
            </w:r>
            <w:r>
              <w:fldChar w:fldCharType="end"/>
            </w:r>
            <w:r>
              <w:rPr>
                <w:lang w:val="en-GB"/>
              </w:rPr>
              <w:t xml:space="preserve"> 储存条件和保质期；</w:t>
            </w:r>
          </w:p>
          <w:p>
            <w:pPr>
              <w:rPr>
                <w:lang w:val="en-GB"/>
              </w:rPr>
            </w:pPr>
            <w:r>
              <w:fldChar w:fldCharType="begin"/>
            </w:r>
            <w:r>
              <w:instrText xml:space="preserve"> eq \o\ac(□,√)</w:instrText>
            </w:r>
            <w:r>
              <w:fldChar w:fldCharType="end"/>
            </w:r>
            <w:r>
              <w:rPr>
                <w:lang w:val="en-GB"/>
              </w:rPr>
              <w:t xml:space="preserve"> 使用或生产前的预处理和/或处置；</w:t>
            </w:r>
          </w:p>
          <w:p>
            <w:pPr>
              <w:rPr>
                <w:lang w:val="en-GB"/>
              </w:rPr>
            </w:pPr>
            <w:r>
              <w:fldChar w:fldCharType="begin"/>
            </w:r>
            <w:r>
              <w:instrText xml:space="preserve"> eq \o\ac(□,√)</w:instrText>
            </w:r>
            <w:r>
              <w:fldChar w:fldCharType="end"/>
            </w:r>
            <w:r>
              <w:rPr>
                <w:lang w:val="en-GB"/>
              </w:rPr>
              <w:t xml:space="preserve"> 与采购材料和辅料预期用途相适宜的有关食品安全的接收准则或规范。</w:t>
            </w:r>
          </w:p>
          <w:p/>
          <w:p>
            <w:pPr>
              <w:rPr>
                <w:b/>
                <w:u w:val="single"/>
              </w:rPr>
            </w:pPr>
            <w:r>
              <w:rPr>
                <w:b/>
                <w:lang w:val="en-GB"/>
              </w:rPr>
              <w:t>最终产品《特性</w:t>
            </w:r>
            <w:r>
              <w:rPr>
                <w:b/>
              </w:rPr>
              <w:t>描述</w:t>
            </w:r>
            <w:r>
              <w:rPr>
                <w:b/>
                <w:lang w:val="en-GB"/>
              </w:rPr>
              <w:t>》</w:t>
            </w:r>
            <w:r>
              <w:rPr>
                <w:b/>
              </w:rPr>
              <w:t>：</w:t>
            </w:r>
            <w:r>
              <w:rPr>
                <w:rFonts w:hint="eastAsia"/>
                <w:b/>
                <w:u w:val="single"/>
              </w:rPr>
              <w:t>香辛料、香辛料粉类</w:t>
            </w:r>
          </w:p>
          <w:p>
            <w:pPr>
              <w:tabs>
                <w:tab w:val="right" w:pos="3119"/>
              </w:tabs>
              <w:rPr>
                <w:bCs/>
              </w:rPr>
            </w:pPr>
            <w:r>
              <w:fldChar w:fldCharType="begin"/>
            </w:r>
            <w:r>
              <w:instrText xml:space="preserve"> eq \o\ac(□,</w:instrText>
            </w:r>
            <w:r>
              <w:rPr>
                <w:position w:val="2"/>
                <w:sz w:val="13"/>
              </w:rPr>
              <w:instrText xml:space="preserve">√</w:instrText>
            </w:r>
            <w:r>
              <w:instrText xml:space="preserve">)</w:instrText>
            </w:r>
            <w:r>
              <w:fldChar w:fldCharType="end"/>
            </w:r>
            <w:r>
              <w:rPr>
                <w:lang w:val="en-GB"/>
              </w:rPr>
              <w:t xml:space="preserve"> </w:t>
            </w:r>
            <w:r>
              <w:rPr>
                <w:bCs/>
              </w:rPr>
              <w:t>产品名称或类似标识；</w:t>
            </w:r>
          </w:p>
          <w:p>
            <w:pPr>
              <w:tabs>
                <w:tab w:val="right" w:pos="3119"/>
              </w:tabs>
              <w:rPr>
                <w:bCs/>
              </w:rPr>
            </w:pPr>
            <w:r>
              <w:fldChar w:fldCharType="begin"/>
            </w:r>
            <w:r>
              <w:instrText xml:space="preserve"> eq \o\ac(□,√)</w:instrText>
            </w:r>
            <w:r>
              <w:fldChar w:fldCharType="end"/>
            </w:r>
            <w:r>
              <w:rPr>
                <w:bCs/>
              </w:rPr>
              <w:t>组成；</w:t>
            </w:r>
          </w:p>
          <w:p>
            <w:pPr>
              <w:tabs>
                <w:tab w:val="right" w:pos="3119"/>
              </w:tabs>
              <w:rPr>
                <w:bCs/>
              </w:rPr>
            </w:pPr>
            <w:r>
              <w:fldChar w:fldCharType="begin"/>
            </w:r>
            <w:r>
              <w:instrText xml:space="preserve"> eq \o\ac(□,√)</w:instrText>
            </w:r>
            <w:r>
              <w:fldChar w:fldCharType="end"/>
            </w:r>
            <w:r>
              <w:rPr>
                <w:lang w:val="en-GB"/>
              </w:rPr>
              <w:t xml:space="preserve"> </w:t>
            </w:r>
            <w:r>
              <w:rPr>
                <w:bCs/>
              </w:rPr>
              <w:t>与食品安全有关的生物、化学和物理特性；</w:t>
            </w:r>
          </w:p>
          <w:p>
            <w:pPr>
              <w:tabs>
                <w:tab w:val="right" w:pos="3119"/>
              </w:tabs>
              <w:rPr>
                <w:bCs/>
              </w:rPr>
            </w:pPr>
            <w:r>
              <w:fldChar w:fldCharType="begin"/>
            </w:r>
            <w:r>
              <w:instrText xml:space="preserve"> eq \o\ac(□,√)</w:instrText>
            </w:r>
            <w:r>
              <w:fldChar w:fldCharType="end"/>
            </w:r>
            <w:r>
              <w:rPr>
                <w:lang w:val="en-GB"/>
              </w:rPr>
              <w:t xml:space="preserve"> </w:t>
            </w:r>
            <w:r>
              <w:rPr>
                <w:bCs/>
              </w:rPr>
              <w:t>预期保质期和储存条件；</w:t>
            </w:r>
          </w:p>
          <w:p>
            <w:pPr>
              <w:tabs>
                <w:tab w:val="right" w:pos="3119"/>
              </w:tabs>
              <w:rPr>
                <w:bCs/>
              </w:rPr>
            </w:pPr>
            <w:r>
              <w:fldChar w:fldCharType="begin"/>
            </w:r>
            <w:r>
              <w:instrText xml:space="preserve"> eq \o\ac(□,√)</w:instrText>
            </w:r>
            <w:r>
              <w:fldChar w:fldCharType="end"/>
            </w:r>
            <w:r>
              <w:rPr>
                <w:lang w:val="en-GB"/>
              </w:rPr>
              <w:t xml:space="preserve"> </w:t>
            </w:r>
            <w:r>
              <w:rPr>
                <w:bCs/>
              </w:rPr>
              <w:t>包装；</w:t>
            </w:r>
          </w:p>
          <w:p>
            <w:pPr>
              <w:tabs>
                <w:tab w:val="right" w:pos="3119"/>
              </w:tabs>
              <w:rPr>
                <w:bCs/>
              </w:rPr>
            </w:pPr>
            <w:r>
              <w:fldChar w:fldCharType="begin"/>
            </w:r>
            <w:r>
              <w:instrText xml:space="preserve"> eq \o\ac(□,√)</w:instrText>
            </w:r>
            <w:r>
              <w:fldChar w:fldCharType="end"/>
            </w:r>
            <w:r>
              <w:rPr>
                <w:lang w:val="en-GB"/>
              </w:rPr>
              <w:t xml:space="preserve"> </w:t>
            </w:r>
            <w:r>
              <w:rPr>
                <w:bCs/>
              </w:rPr>
              <w:t>食品安全标签和/或操作、制备和预期用途说明；</w:t>
            </w:r>
          </w:p>
          <w:p>
            <w:pPr>
              <w:tabs>
                <w:tab w:val="right" w:pos="3119"/>
              </w:tabs>
              <w:rPr>
                <w:bCs/>
              </w:rPr>
            </w:pPr>
            <w:r>
              <w:fldChar w:fldCharType="begin"/>
            </w:r>
            <w:r>
              <w:instrText xml:space="preserve"> eq \o\ac(□,√)</w:instrText>
            </w:r>
            <w:r>
              <w:fldChar w:fldCharType="end"/>
            </w:r>
            <w:r>
              <w:rPr>
                <w:lang w:val="en-GB"/>
              </w:rPr>
              <w:t xml:space="preserve"> </w:t>
            </w:r>
            <w:r>
              <w:rPr>
                <w:bCs/>
              </w:rPr>
              <w:t>分配和交付方法/分销方式</w:t>
            </w:r>
          </w:p>
          <w:p>
            <w:pPr>
              <w:tabs>
                <w:tab w:val="right" w:pos="3119"/>
              </w:tabs>
              <w:rPr>
                <w:bCs/>
              </w:rPr>
            </w:pPr>
          </w:p>
          <w:p>
            <w:pPr>
              <w:rPr>
                <w:u w:val="single"/>
              </w:rPr>
            </w:pPr>
            <w:r>
              <w:t>组织确定了最终产品的预期用途，为</w:t>
            </w:r>
            <w:r>
              <w:rPr>
                <w:u w:val="single"/>
              </w:rPr>
              <w:t xml:space="preserve">  </w:t>
            </w:r>
            <w:r>
              <w:rPr>
                <w:rFonts w:hint="eastAsia"/>
                <w:u w:val="single"/>
              </w:rPr>
              <w:t>大众烹饪用调味品</w:t>
            </w:r>
            <w:r>
              <w:rPr>
                <w:u w:val="single"/>
              </w:rPr>
              <w:t xml:space="preserve"> </w:t>
            </w:r>
          </w:p>
          <w:p/>
          <w:p>
            <w:r>
              <w:t>确定已知特别容易受到特定食品安全危害易感的消费群体/使用者：</w:t>
            </w:r>
          </w:p>
          <w:p>
            <w:r>
              <w:rPr/>
              <w:sym w:font="Wingdings" w:char="00A8"/>
            </w:r>
            <w:r>
              <w:t xml:space="preserve">婴幼儿 </w:t>
            </w:r>
            <w:r>
              <w:rPr/>
              <w:sym w:font="Wingdings" w:char="00A8"/>
            </w:r>
            <w:r>
              <w:t xml:space="preserve">老人  </w:t>
            </w:r>
            <w:r>
              <w:rPr/>
              <w:sym w:font="Wingdings" w:char="00A8"/>
            </w:r>
            <w:r>
              <w:t xml:space="preserve">病人  </w:t>
            </w:r>
            <w:r>
              <w:rPr/>
              <w:sym w:font="Wingdings" w:char="00A8"/>
            </w:r>
            <w:r>
              <w:t xml:space="preserve">易过敏者 </w:t>
            </w:r>
            <w:r>
              <w:rPr/>
              <w:sym w:font="Wingdings" w:char="00A8"/>
            </w:r>
            <w:r>
              <w:t xml:space="preserve"> 团体用餐  </w:t>
            </w:r>
            <w:r>
              <w:rPr/>
              <w:sym w:font="Wingdings" w:char="00A8"/>
            </w:r>
            <w:r>
              <w:t>其他</w:t>
            </w:r>
          </w:p>
          <w:p/>
          <w:p>
            <w:r>
              <w:t>流程图和过程描述</w:t>
            </w:r>
          </w:p>
          <w:p>
            <w:r>
              <w:t>食品安全小组建立、保持和更新流程图（见附件），进行危害分析时，应当使用流程图作为评价食品安全危害可能发生、增加、减少或者引入的依据。</w:t>
            </w:r>
          </w:p>
          <w:p>
            <w:r>
              <w:t>流程图应清晰、准确，并在进行危害分析所需的范围内足够详细。流程图包括以下内容：</w:t>
            </w:r>
          </w:p>
          <w:p>
            <w:r>
              <w:rPr/>
              <w:sym w:font="Wingdings" w:char="00FE"/>
            </w:r>
            <w:r>
              <w:t xml:space="preserve"> 操作步骤的顺序和相互作用；</w:t>
            </w:r>
          </w:p>
          <w:p>
            <w:r>
              <w:rPr>
                <w:rFonts w:hint="eastAsia" w:ascii="宋体" w:hAnsi="宋体"/>
              </w:rPr>
              <w:t>□</w:t>
            </w:r>
            <w:r>
              <w:t xml:space="preserve"> 任何外包过程；</w:t>
            </w:r>
            <w:r>
              <w:rPr>
                <w:rFonts w:hint="eastAsia"/>
              </w:rPr>
              <w:t>（不涉及）</w:t>
            </w:r>
          </w:p>
          <w:p>
            <w:r>
              <w:rPr/>
              <w:sym w:font="Wingdings" w:char="00FE"/>
            </w:r>
            <w:r>
              <w:t xml:space="preserve"> 原材料、辅料、加工助剂、包装材料、公用工程和和中间产品投入点；</w:t>
            </w:r>
          </w:p>
          <w:p>
            <w:r>
              <w:rPr/>
              <w:sym w:font="Wingdings" w:char="00A8"/>
            </w:r>
            <w:r>
              <w:t xml:space="preserve"> 返工点和循环点；</w:t>
            </w:r>
            <w:r>
              <w:rPr>
                <w:rFonts w:hint="eastAsia"/>
              </w:rPr>
              <w:t>（不涉及）</w:t>
            </w:r>
          </w:p>
          <w:p>
            <w:r>
              <w:rPr/>
              <w:sym w:font="Wingdings" w:char="00FE"/>
            </w:r>
            <w:r>
              <w:t xml:space="preserve"> 成品、中间产品和副产品放行点及废弃物的排放点</w:t>
            </w:r>
          </w:p>
          <w:p/>
          <w:p>
            <w:pPr>
              <w:rPr>
                <w:b/>
                <w:bCs/>
              </w:rPr>
            </w:pPr>
            <w:r>
              <w:rPr>
                <w:b/>
                <w:bCs/>
              </w:rPr>
              <w:t>流程图远程确认</w:t>
            </w:r>
          </w:p>
          <w:p>
            <w:pPr>
              <w:tabs>
                <w:tab w:val="right" w:pos="3119"/>
              </w:tabs>
              <w:rPr>
                <w:lang w:val="en-GB"/>
              </w:rPr>
            </w:pPr>
            <w:r>
              <w:rPr>
                <w:lang w:val="en-GB"/>
              </w:rPr>
              <w:t>HACCP小组</w:t>
            </w:r>
            <w:r>
              <w:t>于</w:t>
            </w:r>
            <w:r>
              <w:rPr>
                <w:color w:val="0000FF"/>
                <w:szCs w:val="21"/>
                <w:u w:val="single"/>
              </w:rPr>
              <w:t xml:space="preserve"> </w:t>
            </w:r>
            <w:r>
              <w:rPr>
                <w:szCs w:val="21"/>
                <w:u w:val="single"/>
              </w:rPr>
              <w:t xml:space="preserve"> 2022  </w:t>
            </w:r>
            <w:r>
              <w:rPr>
                <w:szCs w:val="21"/>
              </w:rPr>
              <w:t>年</w:t>
            </w:r>
            <w:r>
              <w:rPr>
                <w:szCs w:val="21"/>
                <w:u w:val="single"/>
              </w:rPr>
              <w:t xml:space="preserve"> 3</w:t>
            </w:r>
            <w:r>
              <w:rPr>
                <w:szCs w:val="21"/>
              </w:rPr>
              <w:t>月</w:t>
            </w:r>
            <w:r>
              <w:rPr>
                <w:szCs w:val="21"/>
                <w:u w:val="single"/>
              </w:rPr>
              <w:t xml:space="preserve"> 25 </w:t>
            </w:r>
            <w:r>
              <w:rPr>
                <w:szCs w:val="21"/>
              </w:rPr>
              <w:t>日</w:t>
            </w:r>
            <w:r>
              <w:t>在</w:t>
            </w:r>
            <w:r>
              <w:rPr>
                <w:rFonts w:hint="eastAsia"/>
              </w:rPr>
              <w:t>现场</w:t>
            </w:r>
            <w:r>
              <w:t>确认了流程图的准确性。</w:t>
            </w:r>
          </w:p>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33" w:hRule="atLeast"/>
        </w:trPr>
        <w:tc>
          <w:tcPr>
            <w:tcW w:w="2174" w:type="dxa"/>
            <w:vMerge w:val="continue"/>
            <w:shd w:val="clear" w:color="auto" w:fill="auto"/>
          </w:tcPr>
          <w:p/>
        </w:tc>
        <w:tc>
          <w:tcPr>
            <w:tcW w:w="936" w:type="dxa"/>
            <w:gridSpan w:val="2"/>
            <w:shd w:val="clear" w:color="auto" w:fill="auto"/>
          </w:tcPr>
          <w:p/>
        </w:tc>
        <w:tc>
          <w:tcPr>
            <w:tcW w:w="745" w:type="dxa"/>
            <w:shd w:val="clear" w:color="auto" w:fill="auto"/>
          </w:tcPr>
          <w:p/>
        </w:tc>
        <w:tc>
          <w:tcPr>
            <w:tcW w:w="9523" w:type="dxa"/>
            <w:shd w:val="clear" w:color="auto" w:fill="auto"/>
          </w:tcPr>
          <w:p>
            <w:r>
              <w:t>过程和过程环境的描述：</w:t>
            </w:r>
          </w:p>
          <w:p>
            <w:r>
              <w:t>食品安全小组在进行危害分析所需的范围内已提供：</w:t>
            </w:r>
          </w:p>
          <w:p>
            <w:pPr>
              <w:numPr>
                <w:ilvl w:val="0"/>
                <w:numId w:val="2"/>
              </w:numPr>
            </w:pPr>
            <w:r>
              <w:t>经营场所的布局，包括食品和非食品加工区；</w:t>
            </w:r>
          </w:p>
          <w:p>
            <w:pPr>
              <w:ind w:firstLine="420"/>
            </w:pPr>
            <w:r>
              <w:rPr/>
              <w:sym w:font="Wingdings" w:char="00FE"/>
            </w:r>
            <w:r>
              <w:t>厂区周边图；</w:t>
            </w:r>
            <w:r>
              <w:rPr/>
              <w:sym w:font="Wingdings" w:char="00FE"/>
            </w:r>
            <w:r>
              <w:t>厂区平面图；（包括：</w:t>
            </w:r>
            <w:r>
              <w:rPr/>
              <w:sym w:font="Wingdings" w:char="00A8"/>
            </w:r>
            <w:r>
              <w:t>清洁区，</w:t>
            </w:r>
            <w:r>
              <w:rPr/>
              <w:sym w:font="Wingdings" w:char="00FE"/>
            </w:r>
            <w:r>
              <w:t>准清洁区，</w:t>
            </w:r>
            <w:r>
              <w:rPr/>
              <w:sym w:font="Wingdings" w:char="00FE"/>
            </w:r>
            <w:r>
              <w:t>一般清洁区）</w:t>
            </w:r>
          </w:p>
          <w:p>
            <w:pPr>
              <w:numPr>
                <w:ilvl w:val="0"/>
                <w:numId w:val="2"/>
              </w:numPr>
            </w:pPr>
            <w:r>
              <w:t>加工设备及接触材料、加工助剂及材料流向；</w:t>
            </w:r>
          </w:p>
          <w:p>
            <w:pPr>
              <w:ind w:firstLine="420"/>
            </w:pPr>
            <w:r>
              <w:t xml:space="preserve">  </w:t>
            </w:r>
            <w:r>
              <w:rPr/>
              <w:sym w:font="Wingdings" w:char="00FE"/>
            </w:r>
            <w:r>
              <w:t>车间平面图（含设备布局）</w:t>
            </w:r>
            <w:r>
              <w:rPr>
                <w:rFonts w:hint="eastAsia"/>
              </w:rPr>
              <w:t>（配送车间布置图）</w:t>
            </w:r>
            <w:r>
              <w:t>（包括：</w:t>
            </w:r>
            <w:r>
              <w:rPr/>
              <w:sym w:font="Wingdings" w:char="00A8"/>
            </w:r>
            <w:r>
              <w:t>清洁区，</w:t>
            </w:r>
            <w:r>
              <w:rPr/>
              <w:sym w:font="Wingdings" w:char="00FE"/>
            </w:r>
            <w:r>
              <w:t>准清洁区，</w:t>
            </w:r>
            <w:r>
              <w:rPr/>
              <w:sym w:font="Wingdings" w:char="00FE"/>
            </w:r>
            <w:r>
              <w:t>一般清洁区）</w:t>
            </w:r>
          </w:p>
          <w:p>
            <w:pPr>
              <w:ind w:firstLine="630" w:firstLineChars="300"/>
            </w:pPr>
            <w:r>
              <w:rPr/>
              <w:sym w:font="Wingdings" w:char="00FE"/>
            </w:r>
            <w:r>
              <w:t>工艺流程图（含循环点、返工、物料进入、废料排出、外包等）</w:t>
            </w:r>
          </w:p>
          <w:p>
            <w:pPr>
              <w:ind w:firstLine="630" w:firstLineChars="300"/>
            </w:pPr>
            <w:r>
              <w:rPr/>
              <w:sym w:font="Wingdings" w:char="00FE"/>
            </w:r>
            <w:r>
              <w:t>人流图，</w:t>
            </w:r>
            <w:r>
              <w:rPr/>
              <w:sym w:font="Wingdings" w:char="00FE"/>
            </w:r>
            <w:r>
              <w:t>气流图，</w:t>
            </w:r>
            <w:r>
              <w:rPr/>
              <w:sym w:font="Wingdings" w:char="00FE"/>
            </w:r>
            <w:r>
              <w:t>水流图，</w:t>
            </w:r>
            <w:r>
              <w:rPr/>
              <w:sym w:font="Wingdings" w:char="00FE"/>
            </w:r>
            <w:r>
              <w:t>物流图，</w:t>
            </w:r>
            <w:r>
              <w:rPr/>
              <w:sym w:font="Wingdings" w:char="00FE"/>
            </w:r>
            <w:r>
              <w:t>防虫害图（蚊蝇、鼠、蟑螂、鸟等）</w:t>
            </w:r>
          </w:p>
          <w:p>
            <w:pPr>
              <w:rPr>
                <w:highlight w:val="yellow"/>
              </w:rPr>
            </w:pPr>
          </w:p>
          <w:p>
            <w:pPr>
              <w:numPr>
                <w:ilvl w:val="0"/>
                <w:numId w:val="2"/>
              </w:numPr>
            </w:pPr>
            <w:r>
              <w:t>现有</w:t>
            </w:r>
            <w:r>
              <w:rPr/>
              <w:sym w:font="Wingdings" w:char="00FE"/>
            </w:r>
            <w:r>
              <w:t xml:space="preserve">PRP   </w:t>
            </w:r>
            <w:r>
              <w:rPr/>
              <w:sym w:font="Wingdings" w:char="00FE"/>
            </w:r>
            <w:r>
              <w:t xml:space="preserve">OPRP  </w:t>
            </w:r>
            <w:r>
              <w:rPr/>
              <w:sym w:font="Wingdings" w:char="00FE"/>
            </w:r>
            <w:r>
              <w:t>工艺参数、控制措施</w:t>
            </w:r>
          </w:p>
          <w:p>
            <w:pPr>
              <w:ind w:firstLine="840" w:firstLineChars="400"/>
            </w:pPr>
          </w:p>
          <w:p>
            <w:pPr>
              <w:numPr>
                <w:ilvl w:val="0"/>
                <w:numId w:val="2"/>
              </w:numPr>
            </w:pPr>
            <w:r>
              <w:t>可能影响控制措施选择和严格性的外部要求</w:t>
            </w:r>
          </w:p>
          <w:p>
            <w:pPr>
              <w:ind w:firstLine="840" w:firstLineChars="400"/>
            </w:pPr>
            <w:r>
              <w:rPr/>
              <w:sym w:font="Wingdings" w:char="00FE"/>
            </w:r>
            <w:r>
              <w:t xml:space="preserve">来自法律法规——法律法规的变化  </w:t>
            </w:r>
          </w:p>
          <w:p>
            <w:pPr>
              <w:ind w:firstLine="840" w:firstLineChars="400"/>
            </w:pPr>
            <w:r>
              <w:rPr/>
              <w:sym w:font="Wingdings" w:char="00FE"/>
            </w:r>
            <w:r>
              <w:t xml:space="preserve">监管机构的要求—— </w:t>
            </w:r>
          </w:p>
          <w:p>
            <w:pPr>
              <w:ind w:firstLine="840" w:firstLineChars="400"/>
              <w:rPr>
                <w:szCs w:val="21"/>
              </w:rPr>
            </w:pPr>
            <w:r>
              <w:rPr/>
              <w:sym w:font="Wingdings" w:char="00FE"/>
            </w:r>
            <w:r>
              <w:t>客户要求——</w:t>
            </w:r>
            <w:r>
              <w:rPr>
                <w:szCs w:val="21"/>
              </w:rPr>
              <w:t>改变</w:t>
            </w:r>
            <w:r>
              <w:rPr>
                <w:rFonts w:hint="eastAsia"/>
                <w:szCs w:val="21"/>
              </w:rPr>
              <w:t>订单/需求</w:t>
            </w:r>
            <w:r>
              <w:rPr>
                <w:szCs w:val="21"/>
              </w:rPr>
              <w:t>等</w:t>
            </w:r>
          </w:p>
          <w:p/>
          <w:p>
            <w:r>
              <w:t>生产/服务流程是否存在因预期季节变化的情况：</w:t>
            </w:r>
          </w:p>
          <w:p>
            <w:pPr>
              <w:rPr>
                <w:highlight w:val="cyan"/>
              </w:rPr>
            </w:pPr>
            <w:r>
              <w:rPr/>
              <w:sym w:font="Wingdings" w:char="00FE"/>
            </w:r>
            <w:r>
              <w:t xml:space="preserve">不存在季节的因素    </w:t>
            </w:r>
            <w:r>
              <w:rPr/>
              <w:sym w:font="Wingdings" w:char="00A8"/>
            </w:r>
            <w:r>
              <w:t>存在季节的因素，说明：</w:t>
            </w:r>
            <w:r>
              <w:rPr>
                <w:u w:val="single"/>
              </w:rPr>
              <w:t xml:space="preserve">             </w:t>
            </w:r>
          </w:p>
          <w:p>
            <w:pPr>
              <w:rPr>
                <w:highlight w:val="cyan"/>
              </w:rPr>
            </w:pPr>
          </w:p>
          <w:p>
            <w:r>
              <w:t>是否存在轮班模式</w:t>
            </w:r>
          </w:p>
          <w:p>
            <w:pPr>
              <w:rPr>
                <w:highlight w:val="cyan"/>
              </w:rPr>
            </w:pPr>
            <w:r>
              <w:rPr/>
              <w:sym w:font="Wingdings" w:char="00FE"/>
            </w:r>
            <w:r>
              <w:t xml:space="preserve">单班  </w:t>
            </w:r>
            <w:r>
              <w:rPr/>
              <w:sym w:font="Wingdings" w:char="00A8"/>
            </w:r>
            <w:r>
              <w:t>多班次，说明：</w:t>
            </w:r>
            <w:r>
              <w:rPr>
                <w:u w:val="single"/>
              </w:rPr>
              <w:t xml:space="preserve">                         </w:t>
            </w:r>
          </w:p>
          <w:p/>
        </w:tc>
        <w:tc>
          <w:tcPr>
            <w:tcW w:w="1290" w:type="dxa"/>
            <w:shd w:val="clear" w:color="auto" w:fill="auto"/>
          </w:tcPr>
          <w:p>
            <w:r>
              <w:fldChar w:fldCharType="begin"/>
            </w:r>
            <w:r>
              <w:instrText xml:space="preserve"> eq \o\ac(□,√)</w:instrText>
            </w:r>
            <w:r>
              <w:fldChar w:fldCharType="end"/>
            </w:r>
            <w:r>
              <w:t>符合</w:t>
            </w:r>
          </w:p>
          <w:p>
            <w:r>
              <w:fldChar w:fldCharType="begin"/>
            </w:r>
            <w:r>
              <w:instrText xml:space="preserve"> eq \o\ac(□)</w:instrText>
            </w:r>
            <w:r>
              <w:fldChar w:fldCharType="end"/>
            </w:r>
            <w:r>
              <w:t>不符合</w:t>
            </w:r>
          </w:p>
          <w:p/>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86" w:hRule="atLeast"/>
        </w:trPr>
        <w:tc>
          <w:tcPr>
            <w:tcW w:w="2174" w:type="dxa"/>
            <w:vMerge w:val="restart"/>
          </w:tcPr>
          <w:p>
            <w:r>
              <w:t>撤回/召回</w:t>
            </w:r>
          </w:p>
          <w:p>
            <w:r>
              <w:rPr>
                <w:rFonts w:hint="eastAsia"/>
              </w:rPr>
              <w:t>应急准备和响应</w:t>
            </w:r>
          </w:p>
        </w:tc>
        <w:tc>
          <w:tcPr>
            <w:tcW w:w="936" w:type="dxa"/>
            <w:gridSpan w:val="2"/>
            <w:vMerge w:val="restart"/>
          </w:tcPr>
          <w:p>
            <w:r>
              <w:t>F8.4</w:t>
            </w:r>
          </w:p>
          <w:p>
            <w:r>
              <w:rPr>
                <w:rFonts w:hint="eastAsia"/>
              </w:rPr>
              <w:t>F8.9.5</w:t>
            </w:r>
          </w:p>
        </w:tc>
        <w:tc>
          <w:tcPr>
            <w:tcW w:w="745" w:type="dxa"/>
          </w:tcPr>
          <w:p>
            <w:r>
              <w:t>文件名称</w:t>
            </w:r>
          </w:p>
        </w:tc>
        <w:tc>
          <w:tcPr>
            <w:tcW w:w="9523" w:type="dxa"/>
          </w:tcPr>
          <w:p>
            <w:pPr>
              <w:spacing w:line="480" w:lineRule="exact"/>
            </w:pPr>
            <w:r>
              <w:t>如：</w:t>
            </w:r>
            <w:r>
              <w:rPr/>
              <w:sym w:font="Wingdings" w:char="00FE"/>
            </w:r>
            <w:r>
              <w:rPr>
                <w:rFonts w:hint="eastAsia"/>
              </w:rPr>
              <w:t>《产品标识和可追溯程序》、</w:t>
            </w:r>
            <w:r>
              <w:rPr/>
              <w:sym w:font="Wingdings" w:char="00FE"/>
            </w:r>
            <w:r>
              <w:t>《应急准备和响应程序》</w:t>
            </w:r>
            <w:r>
              <w:rPr>
                <w:rFonts w:hint="eastAsia"/>
              </w:rPr>
              <w:t>、</w:t>
            </w:r>
            <w:r>
              <w:rPr/>
              <w:sym w:font="Wingdings" w:char="00FE"/>
            </w:r>
            <w:r>
              <w:rPr>
                <w:rFonts w:hint="eastAsia"/>
              </w:rPr>
              <w:t>《通知和召回程序》</w:t>
            </w:r>
          </w:p>
        </w:tc>
        <w:tc>
          <w:tcPr>
            <w:tcW w:w="1290" w:type="dxa"/>
            <w:vMerge w:val="restart"/>
          </w:tcPr>
          <w:p>
            <w:r>
              <w:rPr/>
              <w:sym w:font="Wingdings" w:char="00FE"/>
            </w:r>
            <w:r>
              <w:t>符合</w:t>
            </w:r>
          </w:p>
          <w:p>
            <w:r>
              <w:rPr/>
              <w:sym w:font="Wingdings" w:char="00A8"/>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810" w:hRule="atLeast"/>
        </w:trPr>
        <w:tc>
          <w:tcPr>
            <w:tcW w:w="2174" w:type="dxa"/>
            <w:vMerge w:val="continue"/>
          </w:tcPr>
          <w:p/>
        </w:tc>
        <w:tc>
          <w:tcPr>
            <w:tcW w:w="936" w:type="dxa"/>
            <w:gridSpan w:val="2"/>
            <w:vMerge w:val="continue"/>
          </w:tcPr>
          <w:p/>
        </w:tc>
        <w:tc>
          <w:tcPr>
            <w:tcW w:w="745" w:type="dxa"/>
          </w:tcPr>
          <w:p>
            <w:r>
              <w:t>运行证据</w:t>
            </w:r>
          </w:p>
        </w:tc>
        <w:tc>
          <w:tcPr>
            <w:tcW w:w="9523" w:type="dxa"/>
          </w:tcPr>
          <w:p>
            <w:r>
              <w:rPr>
                <w:rFonts w:hint="eastAsia"/>
              </w:rPr>
              <w:t>于2</w:t>
            </w:r>
            <w:r>
              <w:t>02</w:t>
            </w:r>
            <w:r>
              <w:rPr>
                <w:rFonts w:hint="eastAsia"/>
                <w:lang w:val="en-US" w:eastAsia="zh-CN"/>
              </w:rPr>
              <w:t>2</w:t>
            </w:r>
            <w:r>
              <w:rPr>
                <w:rFonts w:hint="eastAsia"/>
              </w:rPr>
              <w:t>年5月6日开展了</w:t>
            </w:r>
            <w:r>
              <w:rPr>
                <w:rFonts w:hint="eastAsia"/>
                <w:u w:val="single"/>
              </w:rPr>
              <w:t>消防应急演练</w:t>
            </w:r>
            <w:r>
              <w:rPr>
                <w:rFonts w:hint="eastAsia"/>
              </w:rPr>
              <w:t>。基本符合要求。</w:t>
            </w:r>
          </w:p>
          <w:p>
            <w:r>
              <w:t>有权决定撤回/召回人员：</w:t>
            </w:r>
            <w:r>
              <w:rPr>
                <w:rFonts w:hint="eastAsia"/>
                <w:u w:val="single"/>
              </w:rPr>
              <w:t xml:space="preserve"> </w:t>
            </w:r>
            <w:r>
              <w:rPr>
                <w:u w:val="single"/>
              </w:rPr>
              <w:t xml:space="preserve"> </w:t>
            </w:r>
            <w:r>
              <w:rPr>
                <w:rFonts w:hint="eastAsia"/>
                <w:u w:val="single"/>
              </w:rPr>
              <w:t>食品安全小组组长或</w:t>
            </w:r>
            <w:r>
              <w:rPr>
                <w:u w:val="single"/>
              </w:rPr>
              <w:t xml:space="preserve">总经理  </w:t>
            </w:r>
            <w:r>
              <w:t xml:space="preserve">；  </w:t>
            </w:r>
          </w:p>
          <w:p>
            <w:r>
              <w:t>确保及时撤回/召回被确定为潜在不安全的大量最终产品。</w:t>
            </w:r>
          </w:p>
          <w:p>
            <w:r>
              <w:t>组织的撤回/召回流程，包括：</w:t>
            </w:r>
          </w:p>
          <w:tbl>
            <w:tblPr>
              <w:tblStyle w:val="12"/>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5"/>
              <w:gridCol w:w="2193"/>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auto"/>
                </w:tcPr>
                <w:p/>
              </w:tc>
              <w:tc>
                <w:tcPr>
                  <w:tcW w:w="2193" w:type="dxa"/>
                  <w:shd w:val="clear" w:color="auto" w:fill="auto"/>
                </w:tcPr>
                <w:p>
                  <w:r>
                    <w:t>实施责任部门</w:t>
                  </w:r>
                </w:p>
              </w:tc>
              <w:tc>
                <w:tcPr>
                  <w:tcW w:w="3015" w:type="dxa"/>
                  <w:shd w:val="clear" w:color="auto" w:fill="auto"/>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auto"/>
                </w:tcPr>
                <w:p>
                  <w:r>
                    <w:t>通知法定和监管机构</w:t>
                  </w:r>
                </w:p>
              </w:tc>
              <w:tc>
                <w:tcPr>
                  <w:tcW w:w="2193" w:type="dxa"/>
                  <w:shd w:val="clear" w:color="auto" w:fill="auto"/>
                </w:tcPr>
                <w:p>
                  <w:r>
                    <w:rPr>
                      <w:rFonts w:hint="eastAsia"/>
                    </w:rPr>
                    <w:t>食品安全小组组长</w:t>
                  </w:r>
                </w:p>
              </w:tc>
              <w:tc>
                <w:tcPr>
                  <w:tcW w:w="301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auto"/>
                </w:tcPr>
                <w:p>
                  <w:r>
                    <w:t>通知客户</w:t>
                  </w:r>
                </w:p>
              </w:tc>
              <w:tc>
                <w:tcPr>
                  <w:tcW w:w="2193" w:type="dxa"/>
                  <w:shd w:val="clear" w:color="auto" w:fill="auto"/>
                </w:tcPr>
                <w:p>
                  <w:r>
                    <w:rPr>
                      <w:rFonts w:hint="eastAsia"/>
                    </w:rPr>
                    <w:t>销售部</w:t>
                  </w:r>
                </w:p>
              </w:tc>
              <w:tc>
                <w:tcPr>
                  <w:tcW w:w="301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auto"/>
                </w:tcPr>
                <w:p>
                  <w:r>
                    <w:t>通知消费者</w:t>
                  </w:r>
                </w:p>
              </w:tc>
              <w:tc>
                <w:tcPr>
                  <w:tcW w:w="2193" w:type="dxa"/>
                  <w:shd w:val="clear" w:color="auto" w:fill="auto"/>
                </w:tcPr>
                <w:p>
                  <w:r>
                    <w:rPr>
                      <w:rFonts w:hint="eastAsia"/>
                    </w:rPr>
                    <w:t>销售部</w:t>
                  </w:r>
                </w:p>
              </w:tc>
              <w:tc>
                <w:tcPr>
                  <w:tcW w:w="301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auto"/>
                </w:tcPr>
                <w:p>
                  <w:r>
                    <w:t>处置撤回产品</w:t>
                  </w:r>
                </w:p>
              </w:tc>
              <w:tc>
                <w:tcPr>
                  <w:tcW w:w="2193" w:type="dxa"/>
                  <w:shd w:val="clear" w:color="auto" w:fill="auto"/>
                </w:tcPr>
                <w:p>
                  <w:r>
                    <w:rPr>
                      <w:rFonts w:hint="eastAsia"/>
                    </w:rPr>
                    <w:t>生产部、品管部</w:t>
                  </w:r>
                </w:p>
              </w:tc>
              <w:tc>
                <w:tcPr>
                  <w:tcW w:w="301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auto"/>
                </w:tcPr>
                <w:p>
                  <w:r>
                    <w:t>处置库存中受影响的批次/批号产品</w:t>
                  </w:r>
                </w:p>
              </w:tc>
              <w:tc>
                <w:tcPr>
                  <w:tcW w:w="2193" w:type="dxa"/>
                  <w:shd w:val="clear" w:color="auto" w:fill="auto"/>
                </w:tcPr>
                <w:p>
                  <w:r>
                    <w:rPr>
                      <w:rFonts w:hint="eastAsia"/>
                    </w:rPr>
                    <w:t>生产部、品管部</w:t>
                  </w:r>
                </w:p>
              </w:tc>
              <w:tc>
                <w:tcPr>
                  <w:tcW w:w="3015"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5" w:type="dxa"/>
                  <w:shd w:val="clear" w:color="auto" w:fill="auto"/>
                </w:tcPr>
                <w:p>
                  <w:r>
                    <w:t>安排采取措施的顺序</w:t>
                  </w:r>
                </w:p>
              </w:tc>
              <w:tc>
                <w:tcPr>
                  <w:tcW w:w="2193" w:type="dxa"/>
                  <w:shd w:val="clear" w:color="auto" w:fill="auto"/>
                </w:tcPr>
                <w:p>
                  <w:r>
                    <w:t>食品安全小组</w:t>
                  </w:r>
                </w:p>
              </w:tc>
              <w:tc>
                <w:tcPr>
                  <w:tcW w:w="3015" w:type="dxa"/>
                  <w:shd w:val="clear" w:color="auto" w:fill="auto"/>
                </w:tcPr>
                <w:p/>
              </w:tc>
            </w:tr>
          </w:tbl>
          <w:p/>
          <w:p>
            <w:r>
              <w:t>本部门是否发生产品的</w:t>
            </w:r>
            <w:r>
              <w:rPr/>
              <w:sym w:font="Wingdings" w:char="00A8"/>
            </w:r>
            <w:r>
              <w:t>撤回或</w:t>
            </w:r>
            <w:r>
              <w:rPr/>
              <w:sym w:font="Wingdings" w:char="00A8"/>
            </w:r>
            <w:r>
              <w:t>召回的情况：</w:t>
            </w:r>
          </w:p>
          <w:p>
            <w:pPr>
              <w:rPr>
                <w:u w:val="single"/>
              </w:rPr>
            </w:pPr>
            <w:r>
              <w:rPr/>
              <w:sym w:font="Wingdings" w:char="00FE"/>
            </w:r>
            <w:r>
              <w:t xml:space="preserve">未发生 </w:t>
            </w:r>
            <w:r>
              <w:rPr/>
              <w:sym w:font="Wingdings" w:char="00A8"/>
            </w:r>
            <w:r>
              <w:t>已发生，说明</w:t>
            </w:r>
            <w:r>
              <w:rPr>
                <w:u w:val="single"/>
              </w:rPr>
              <w:t xml:space="preserve">                       </w:t>
            </w:r>
          </w:p>
          <w:p/>
          <w:p>
            <w:pPr>
              <w:rPr>
                <w:u w:val="single"/>
              </w:rPr>
            </w:pPr>
            <w:r>
              <w:t>本部门是否发生产品的撤回或召回方面的处置：</w:t>
            </w:r>
            <w:r>
              <w:rPr/>
              <w:sym w:font="Wingdings" w:char="00FE"/>
            </w:r>
            <w:r>
              <w:t xml:space="preserve">未发生 </w:t>
            </w:r>
            <w:r>
              <w:rPr/>
              <w:sym w:font="Wingdings" w:char="00A8"/>
            </w:r>
            <w:r>
              <w:t>已发生，说明</w:t>
            </w:r>
            <w:r>
              <w:rPr>
                <w:u w:val="single"/>
              </w:rPr>
              <w:t xml:space="preserve">                       </w:t>
            </w:r>
          </w:p>
          <w:p>
            <w:r>
              <w:rPr>
                <w:rFonts w:hint="eastAsia"/>
              </w:rPr>
              <w:t>参加公司组织的撤回/召回演练</w:t>
            </w:r>
          </w:p>
          <w:tbl>
            <w:tblPr>
              <w:tblStyle w:val="13"/>
              <w:tblW w:w="8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2208"/>
              <w:gridCol w:w="1228"/>
              <w:gridCol w:w="1145"/>
              <w:gridCol w:w="1143"/>
              <w:gridCol w:w="850"/>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r>
                    <w:t>产品批号</w:t>
                  </w:r>
                </w:p>
              </w:tc>
              <w:tc>
                <w:tcPr>
                  <w:tcW w:w="2208" w:type="dxa"/>
                </w:tcPr>
                <w:p>
                  <w:r>
                    <w:t>不合格简述</w:t>
                  </w:r>
                </w:p>
              </w:tc>
              <w:tc>
                <w:tcPr>
                  <w:tcW w:w="1228" w:type="dxa"/>
                </w:tcPr>
                <w:p>
                  <w:r>
                    <w:t>生产记录情况</w:t>
                  </w:r>
                </w:p>
              </w:tc>
              <w:tc>
                <w:tcPr>
                  <w:tcW w:w="1145" w:type="dxa"/>
                </w:tcPr>
                <w:p>
                  <w:r>
                    <w:t>检验记录情况</w:t>
                  </w:r>
                </w:p>
              </w:tc>
              <w:tc>
                <w:tcPr>
                  <w:tcW w:w="1143" w:type="dxa"/>
                </w:tcPr>
                <w:p>
                  <w:r>
                    <w:t>采购记录情况</w:t>
                  </w:r>
                </w:p>
              </w:tc>
              <w:tc>
                <w:tcPr>
                  <w:tcW w:w="850" w:type="dxa"/>
                </w:tcPr>
                <w:p>
                  <w:r>
                    <w:t>产品留样确认</w:t>
                  </w:r>
                </w:p>
              </w:tc>
              <w:tc>
                <w:tcPr>
                  <w:tcW w:w="1588" w:type="dxa"/>
                </w:tcPr>
                <w:p>
                  <w:r>
                    <w:t>销售记录追踪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r>
                    <w:t>2022.3.10</w:t>
                  </w:r>
                  <w:r>
                    <w:rPr>
                      <w:rFonts w:hint="eastAsia"/>
                    </w:rPr>
                    <w:t>八角</w:t>
                  </w:r>
                </w:p>
              </w:tc>
              <w:tc>
                <w:tcPr>
                  <w:tcW w:w="2208" w:type="dxa"/>
                </w:tcPr>
                <w:p>
                  <w:r>
                    <w:rPr>
                      <w:rFonts w:hint="eastAsia"/>
                    </w:rPr>
                    <w:t>八角包装袋在X</w:t>
                  </w:r>
                  <w:r>
                    <w:t>X</w:t>
                  </w:r>
                  <w:r>
                    <w:rPr>
                      <w:rFonts w:hint="eastAsia"/>
                    </w:rPr>
                    <w:t>超市发生霉变</w:t>
                  </w:r>
                </w:p>
              </w:tc>
              <w:tc>
                <w:tcPr>
                  <w:tcW w:w="1228" w:type="dxa"/>
                </w:tcPr>
                <w:p>
                  <w:r>
                    <w:rPr>
                      <w:rFonts w:hint="eastAsia"/>
                    </w:rPr>
                    <w:t>202</w:t>
                  </w:r>
                  <w:r>
                    <w:t>2</w:t>
                  </w:r>
                  <w:r>
                    <w:rPr>
                      <w:rFonts w:hint="eastAsia"/>
                    </w:rPr>
                    <w:t>.0</w:t>
                  </w:r>
                  <w:r>
                    <w:t>3</w:t>
                  </w:r>
                  <w:r>
                    <w:rPr>
                      <w:rFonts w:hint="eastAsia"/>
                    </w:rPr>
                    <w:t>.</w:t>
                  </w:r>
                  <w:r>
                    <w:t>07</w:t>
                  </w:r>
                  <w:r>
                    <w:rPr>
                      <w:rFonts w:hint="eastAsia"/>
                    </w:rPr>
                    <w:t>；入库时间为2</w:t>
                  </w:r>
                  <w:r>
                    <w:t>022</w:t>
                  </w:r>
                  <w:r>
                    <w:rPr>
                      <w:rFonts w:hint="eastAsia"/>
                    </w:rPr>
                    <w:t>年3月1</w:t>
                  </w:r>
                  <w:r>
                    <w:t>0</w:t>
                  </w:r>
                  <w:r>
                    <w:rPr>
                      <w:rFonts w:hint="eastAsia"/>
                    </w:rPr>
                    <w:t>日，保存1</w:t>
                  </w:r>
                  <w:r>
                    <w:t>0</w:t>
                  </w:r>
                  <w:r>
                    <w:rPr>
                      <w:rFonts w:hint="eastAsia"/>
                    </w:rPr>
                    <w:t>天</w:t>
                  </w:r>
                </w:p>
              </w:tc>
              <w:tc>
                <w:tcPr>
                  <w:tcW w:w="1145" w:type="dxa"/>
                </w:tcPr>
                <w:p>
                  <w:r>
                    <w:rPr>
                      <w:rFonts w:hint="eastAsia"/>
                    </w:rPr>
                    <w:t>未体现</w:t>
                  </w:r>
                </w:p>
              </w:tc>
              <w:tc>
                <w:tcPr>
                  <w:tcW w:w="1143" w:type="dxa"/>
                </w:tcPr>
                <w:p>
                  <w:r>
                    <w:rPr>
                      <w:rFonts w:hint="eastAsia"/>
                    </w:rPr>
                    <w:t>未体现</w:t>
                  </w:r>
                </w:p>
              </w:tc>
              <w:tc>
                <w:tcPr>
                  <w:tcW w:w="850" w:type="dxa"/>
                </w:tcPr>
                <w:p>
                  <w:r>
                    <w:rPr>
                      <w:rFonts w:hint="eastAsia"/>
                    </w:rPr>
                    <w:t>未体现</w:t>
                  </w:r>
                </w:p>
              </w:tc>
              <w:tc>
                <w:tcPr>
                  <w:tcW w:w="1588" w:type="dxa"/>
                </w:tcPr>
                <w:p>
                  <w:r>
                    <w:rPr>
                      <w:rFonts w:hint="eastAsia"/>
                    </w:rPr>
                    <w:t>1</w:t>
                  </w:r>
                  <w:r>
                    <w:t>00</w:t>
                  </w:r>
                  <w:r>
                    <w:rPr>
                      <w:rFonts w:hint="eastAsia"/>
                    </w:rPr>
                    <w:t>袋共5</w:t>
                  </w:r>
                  <w:r>
                    <w:t>0</w:t>
                  </w:r>
                  <w:r>
                    <w:rPr>
                      <w:rFonts w:hint="eastAsia"/>
                    </w:rPr>
                    <w:t>kg</w:t>
                  </w:r>
                </w:p>
              </w:tc>
            </w:tr>
          </w:tbl>
          <w:p>
            <w:r>
              <w:rPr>
                <w:rFonts w:hint="eastAsia"/>
                <w:highlight w:val="yellow"/>
              </w:rPr>
              <w:t>在召回追溯演练信息中生产为3月7日，入库日期3月1</w:t>
            </w:r>
            <w:r>
              <w:rPr>
                <w:highlight w:val="yellow"/>
              </w:rPr>
              <w:t>0</w:t>
            </w:r>
            <w:r>
              <w:rPr>
                <w:rFonts w:hint="eastAsia"/>
                <w:highlight w:val="yellow"/>
              </w:rPr>
              <w:t>日，库内保存1</w:t>
            </w:r>
            <w:r>
              <w:rPr>
                <w:highlight w:val="yellow"/>
              </w:rPr>
              <w:t>0</w:t>
            </w:r>
            <w:r>
              <w:rPr>
                <w:rFonts w:hint="eastAsia"/>
                <w:highlight w:val="yellow"/>
              </w:rPr>
              <w:t>天。同时演练中提到X</w:t>
            </w:r>
            <w:r>
              <w:rPr>
                <w:highlight w:val="yellow"/>
              </w:rPr>
              <w:t>X</w:t>
            </w:r>
            <w:r>
              <w:rPr>
                <w:rFonts w:hint="eastAsia"/>
                <w:highlight w:val="yellow"/>
              </w:rPr>
              <w:t>地区总代理是3月</w:t>
            </w:r>
            <w:r>
              <w:rPr>
                <w:highlight w:val="yellow"/>
              </w:rPr>
              <w:t>9</w:t>
            </w:r>
            <w:r>
              <w:rPr>
                <w:rFonts w:hint="eastAsia"/>
                <w:highlight w:val="yellow"/>
              </w:rPr>
              <w:t>日购进的八角；3月1</w:t>
            </w:r>
            <w:r>
              <w:rPr>
                <w:highlight w:val="yellow"/>
              </w:rPr>
              <w:t>0</w:t>
            </w:r>
            <w:r>
              <w:rPr>
                <w:rFonts w:hint="eastAsia"/>
                <w:highlight w:val="yellow"/>
              </w:rPr>
              <w:t>日在X</w:t>
            </w:r>
            <w:r>
              <w:rPr>
                <w:highlight w:val="yellow"/>
              </w:rPr>
              <w:t>X</w:t>
            </w:r>
            <w:r>
              <w:rPr>
                <w:rFonts w:hint="eastAsia"/>
                <w:highlight w:val="yellow"/>
              </w:rPr>
              <w:t>超市，存在不准确的情况，沟通。</w:t>
            </w:r>
          </w:p>
          <w:p>
            <w:pPr>
              <w:pStyle w:val="11"/>
              <w:rPr>
                <w:rFonts w:ascii="Times New Roman" w:hAnsi="Times New Roman"/>
              </w:rPr>
            </w:pPr>
          </w:p>
          <w:p>
            <w:r>
              <w:t>结论：</w:t>
            </w:r>
            <w:r>
              <w:rPr/>
              <w:sym w:font="Wingdings" w:char="00A8"/>
            </w:r>
            <w:r>
              <w:t>能够确保完整、 及时地撤回已被识别为潜在不安全的批次/批号产品</w:t>
            </w:r>
            <w:r>
              <w:rPr>
                <w:rFonts w:hint="eastAsia"/>
              </w:rPr>
              <w:t xml:space="preserve"> </w:t>
            </w:r>
          </w:p>
          <w:p>
            <w:pPr>
              <w:ind w:firstLine="630" w:firstLineChars="300"/>
              <w:rPr>
                <w:u w:val="single"/>
              </w:rPr>
            </w:pPr>
            <w:r>
              <w:rPr/>
              <w:sym w:font="Wingdings" w:char="00FE"/>
            </w:r>
            <w:r>
              <w:t>不能够确保完整、 及时地撤回已被识别为潜在不安全的批次/批号产品，说明：</w:t>
            </w:r>
            <w:r>
              <w:rPr>
                <w:u w:val="single"/>
              </w:rPr>
              <w:t xml:space="preserve"> </w:t>
            </w:r>
            <w:r>
              <w:rPr>
                <w:rFonts w:hint="eastAsia"/>
                <w:u w:val="single"/>
              </w:rPr>
              <w:t>未明确对生产、质量检测的批次确认，未保留相对应的原始记录，已远程沟通，后期改进。</w:t>
            </w:r>
            <w:r>
              <w:rPr>
                <w:u w:val="single"/>
              </w:rPr>
              <w:t xml:space="preserve">        </w:t>
            </w:r>
          </w:p>
          <w:p/>
          <w:p>
            <w:r>
              <w:t>见《产品召回记录》， 并向最高管理者报告， 作为管理评审的输入。</w:t>
            </w:r>
          </w:p>
          <w:p/>
        </w:tc>
        <w:tc>
          <w:tcPr>
            <w:tcW w:w="1290"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86" w:hRule="atLeast"/>
        </w:trPr>
        <w:tc>
          <w:tcPr>
            <w:tcW w:w="2174" w:type="dxa"/>
            <w:vMerge w:val="restart"/>
            <w:shd w:val="clear" w:color="auto" w:fill="auto"/>
          </w:tcPr>
          <w:p>
            <w:r>
              <w:t>危害分析</w:t>
            </w:r>
          </w:p>
        </w:tc>
        <w:tc>
          <w:tcPr>
            <w:tcW w:w="936" w:type="dxa"/>
            <w:gridSpan w:val="2"/>
            <w:vMerge w:val="restart"/>
            <w:shd w:val="clear" w:color="auto" w:fill="auto"/>
          </w:tcPr>
          <w:p>
            <w:r>
              <w:t>F8.5.2</w:t>
            </w:r>
          </w:p>
          <w:p/>
        </w:tc>
        <w:tc>
          <w:tcPr>
            <w:tcW w:w="745" w:type="dxa"/>
            <w:shd w:val="clear" w:color="auto" w:fill="auto"/>
          </w:tcPr>
          <w:p>
            <w:r>
              <w:t>文件名称</w:t>
            </w:r>
          </w:p>
        </w:tc>
        <w:tc>
          <w:tcPr>
            <w:tcW w:w="9523" w:type="dxa"/>
            <w:shd w:val="clear" w:color="auto" w:fill="auto"/>
          </w:tcPr>
          <w:p>
            <w:r>
              <w:t>如：</w:t>
            </w:r>
            <w:r>
              <w:rPr/>
              <w:sym w:font="Wingdings" w:char="00FE"/>
            </w:r>
            <w:r>
              <w:t>《</w:t>
            </w:r>
            <w:r>
              <w:rPr>
                <w:rFonts w:hint="eastAsia"/>
              </w:rPr>
              <w:t>危害控制</w:t>
            </w:r>
            <w:r>
              <w:t>计划》</w:t>
            </w:r>
            <w:r>
              <w:rPr>
                <w:rFonts w:hint="eastAsia"/>
              </w:rPr>
              <w:t>、</w:t>
            </w:r>
            <w:r>
              <w:rPr/>
              <w:sym w:font="Wingdings" w:char="00FE"/>
            </w:r>
            <w:r>
              <w:rPr>
                <w:rFonts w:hint="eastAsia"/>
              </w:rPr>
              <w:t>管理手册8</w:t>
            </w:r>
            <w:r>
              <w:t>.5.2</w:t>
            </w:r>
            <w:r>
              <w:rPr>
                <w:rFonts w:hint="eastAsia"/>
              </w:rPr>
              <w:t>条款</w:t>
            </w:r>
          </w:p>
        </w:tc>
        <w:tc>
          <w:tcPr>
            <w:tcW w:w="1290" w:type="dxa"/>
            <w:vMerge w:val="restart"/>
            <w:shd w:val="clear" w:color="auto" w:fill="auto"/>
          </w:tcPr>
          <w:p>
            <w:r>
              <w:rPr/>
              <w:sym w:font="Wingdings" w:char="00FE"/>
            </w:r>
            <w:r>
              <w:t>符合</w:t>
            </w:r>
          </w:p>
          <w:p>
            <w:r>
              <w:rPr/>
              <w:sym w:font="Wingdings" w:char="00A8"/>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09"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t>运行证据</w:t>
            </w:r>
          </w:p>
        </w:tc>
        <w:tc>
          <w:tcPr>
            <w:tcW w:w="9523" w:type="dxa"/>
            <w:shd w:val="clear" w:color="auto" w:fill="auto"/>
          </w:tcPr>
          <w:p>
            <w:r>
              <w:t>食品安全小组于</w:t>
            </w:r>
            <w:r>
              <w:rPr>
                <w:u w:val="single"/>
              </w:rPr>
              <w:t xml:space="preserve">  2021 </w:t>
            </w:r>
            <w:r>
              <w:t>年</w:t>
            </w:r>
            <w:r>
              <w:rPr>
                <w:u w:val="single"/>
              </w:rPr>
              <w:t xml:space="preserve"> </w:t>
            </w:r>
            <w:r>
              <w:rPr>
                <w:rFonts w:hint="eastAsia"/>
                <w:u w:val="single"/>
              </w:rPr>
              <w:t>1</w:t>
            </w:r>
            <w:r>
              <w:t>月</w:t>
            </w:r>
            <w:r>
              <w:rPr>
                <w:u w:val="single"/>
              </w:rPr>
              <w:t xml:space="preserve"> </w:t>
            </w:r>
            <w:r>
              <w:rPr>
                <w:rFonts w:hint="eastAsia"/>
                <w:u w:val="single"/>
              </w:rPr>
              <w:t>4</w:t>
            </w:r>
            <w:r>
              <w:t>日根据初步情况进行危害分析，确定需要控制的危害。控制程度应确保食品安全，并在适当情况下采用多种控制措施的组合。</w:t>
            </w:r>
            <w:r>
              <w:rPr>
                <w:rFonts w:hint="eastAsia"/>
              </w:rPr>
              <w:t>（审核周期内未变更）</w:t>
            </w:r>
          </w:p>
          <w:p/>
          <w:p>
            <w:r>
              <w:t>组织应识别并记录与产品类型、工艺类型和工艺环境相关的所有合理预期发生的食品安全危害。</w:t>
            </w:r>
          </w:p>
          <w:p>
            <w:r>
              <w:t>本企业的食品安全危害识别基于：</w:t>
            </w:r>
          </w:p>
          <w:p>
            <w:r>
              <w:t xml:space="preserve">  </w:t>
            </w:r>
            <w:r>
              <w:rPr/>
              <w:sym w:font="Wingdings" w:char="00FE"/>
            </w:r>
            <w:r>
              <w:t xml:space="preserve"> 根据8.5.1收集的初步信息和数据；</w:t>
            </w:r>
          </w:p>
          <w:p>
            <w:r>
              <w:t xml:space="preserve">  </w:t>
            </w:r>
            <w:r>
              <w:rPr/>
              <w:sym w:font="Wingdings" w:char="00FE"/>
            </w:r>
            <w:r>
              <w:t xml:space="preserve"> 生产实现/服务提供经验；可包括熟悉其他设施的产品和/或过程的员工和外部专家提供的信息。</w:t>
            </w:r>
          </w:p>
          <w:p>
            <w:pPr>
              <w:ind w:firstLine="210" w:firstLineChars="100"/>
            </w:pPr>
            <w:r>
              <w:rPr/>
              <w:sym w:font="Wingdings" w:char="00FE"/>
            </w:r>
            <w:r>
              <w:t xml:space="preserve"> 内部和外部信息，尽可能包括流行病学、科学和其他历史数据；</w:t>
            </w:r>
          </w:p>
          <w:p>
            <w:r>
              <w:t xml:space="preserve">  </w:t>
            </w:r>
            <w:r>
              <w:rPr/>
              <w:sym w:font="Wingdings" w:char="00FE"/>
            </w:r>
            <w:r>
              <w:t xml:space="preserve"> 来自食品链的与最终产品、中间产品和食用时食品安全相关的食品安全危害信息；</w:t>
            </w:r>
          </w:p>
          <w:p>
            <w:pPr>
              <w:ind w:firstLine="210" w:firstLineChars="100"/>
            </w:pPr>
            <w:r>
              <w:rPr/>
              <w:sym w:font="Wingdings" w:char="00FE"/>
            </w:r>
            <w:r>
              <w:t xml:space="preserve"> 法律、法规要求，包括相关产品食品安全标准</w:t>
            </w:r>
          </w:p>
          <w:p>
            <w:pPr>
              <w:ind w:firstLine="210" w:firstLineChars="100"/>
            </w:pPr>
            <w:r>
              <w:rPr/>
              <w:sym w:font="Wingdings" w:char="00FE"/>
            </w:r>
            <w:r>
              <w:t xml:space="preserve"> 客户要求。</w:t>
            </w:r>
          </w:p>
          <w:p>
            <w:r>
              <w:t>充分详细地考虑危险，以便进行危险评估和选择适当的控制措施。</w:t>
            </w:r>
          </w:p>
          <w:p/>
          <w:p>
            <w:r>
              <w:t>见《</w:t>
            </w:r>
            <w:r>
              <w:rPr>
                <w:rFonts w:hint="eastAsia"/>
              </w:rPr>
              <w:t>危害控制</w:t>
            </w:r>
            <w:r>
              <w:t>计划》中的主要食品安全危害，包括：</w:t>
            </w:r>
          </w:p>
          <w:p/>
          <w:p>
            <w:pPr>
              <w:rPr>
                <w:b/>
                <w:bCs/>
              </w:rPr>
            </w:pPr>
            <w:r>
              <w:rPr>
                <w:b/>
                <w:bCs/>
                <w:lang w:val="en-GB"/>
              </w:rPr>
              <w:t>显著危害</w:t>
            </w:r>
            <w:r>
              <w:rPr>
                <w:b/>
                <w:bCs/>
              </w:rPr>
              <w:t>包括：</w:t>
            </w:r>
          </w:p>
          <w:p>
            <w:r>
              <w:t>化学危害：</w:t>
            </w:r>
            <w:r>
              <w:rPr/>
              <w:sym w:font="Wingdings" w:char="00FE"/>
            </w:r>
            <w:r>
              <w:t xml:space="preserve">重金属  </w:t>
            </w:r>
            <w:r>
              <w:rPr/>
              <w:sym w:font="Wingdings" w:char="00FE"/>
            </w:r>
            <w:r>
              <w:t xml:space="preserve">农药残留  </w:t>
            </w:r>
            <w:r>
              <w:rPr/>
              <w:sym w:font="Wingdings" w:char="00A8"/>
            </w:r>
            <w:r>
              <w:t xml:space="preserve">兽药残留  </w:t>
            </w:r>
            <w:r>
              <w:rPr/>
              <w:sym w:font="Wingdings" w:char="00A8"/>
            </w:r>
            <w:r>
              <w:t xml:space="preserve">黄曲霉毒素  </w:t>
            </w:r>
            <w:r>
              <w:rPr/>
              <w:sym w:font="Wingdings" w:char="00A8"/>
            </w:r>
            <w:r>
              <w:t xml:space="preserve">放射性物质 </w:t>
            </w:r>
            <w:r>
              <w:rPr/>
              <w:sym w:font="Wingdings" w:char="00A8"/>
            </w:r>
            <w:r>
              <w:t xml:space="preserve">贝类毒素 </w:t>
            </w:r>
          </w:p>
          <w:p>
            <w:pPr>
              <w:ind w:firstLine="840" w:firstLineChars="400"/>
            </w:pPr>
            <w:r>
              <w:t xml:space="preserve">  </w:t>
            </w:r>
            <w:r>
              <w:rPr/>
              <w:sym w:font="Wingdings" w:char="00A8"/>
            </w:r>
            <w:r>
              <w:t xml:space="preserve">超量的食品添加剂   </w:t>
            </w:r>
            <w:r>
              <w:rPr/>
              <w:sym w:font="Wingdings" w:char="00A8"/>
            </w:r>
            <w:r>
              <w:t xml:space="preserve">化学品（润滑油、清洁剂、消毒剂、杀虫剂）  </w:t>
            </w:r>
            <w:r>
              <w:rPr/>
              <w:sym w:font="Wingdings" w:char="00A8"/>
            </w:r>
            <w:r>
              <w:t xml:space="preserve"> </w:t>
            </w:r>
            <w:r>
              <w:rPr>
                <w:bCs/>
                <w:lang w:val="en-GB"/>
              </w:rPr>
              <w:t>苯并芘</w:t>
            </w:r>
            <w:r>
              <w:rPr>
                <w:b/>
                <w:color w:val="0000FF"/>
              </w:rPr>
              <w:t xml:space="preserve"> </w:t>
            </w:r>
            <w:r>
              <w:t xml:space="preserve">  </w:t>
            </w:r>
          </w:p>
          <w:p>
            <w:pPr>
              <w:ind w:firstLine="1050" w:firstLineChars="500"/>
            </w:pPr>
            <w:r>
              <w:rPr/>
              <w:sym w:font="Wingdings" w:char="00A8"/>
            </w:r>
            <w:r>
              <w:t xml:space="preserve">二氧化硫残留 </w:t>
            </w:r>
            <w:r>
              <w:rPr/>
              <w:sym w:font="Wingdings" w:char="00A8"/>
            </w:r>
            <w:r>
              <w:t xml:space="preserve">有毒有害种子 </w:t>
            </w:r>
            <w:r>
              <w:rPr/>
              <w:sym w:font="Wingdings" w:char="00A8"/>
            </w:r>
            <w:r>
              <w:t>其他</w:t>
            </w:r>
          </w:p>
          <w:p>
            <w:r>
              <w:t>生物危害：</w:t>
            </w:r>
            <w:r>
              <w:rPr/>
              <w:sym w:font="Wingdings" w:char="00FE"/>
            </w:r>
            <w:r>
              <w:t xml:space="preserve">大肠杆菌    </w:t>
            </w:r>
            <w:r>
              <w:rPr/>
              <w:sym w:font="Wingdings" w:char="00A8"/>
            </w:r>
            <w:r>
              <w:t xml:space="preserve">金黄色葡萄球菌  </w:t>
            </w:r>
            <w:r>
              <w:rPr/>
              <w:sym w:font="Wingdings" w:char="00A8"/>
            </w:r>
            <w:r>
              <w:t xml:space="preserve">志贺氏菌  </w:t>
            </w:r>
            <w:r>
              <w:rPr/>
              <w:sym w:font="Wingdings" w:char="00A8"/>
            </w:r>
            <w:r>
              <w:t xml:space="preserve">霉菌  </w:t>
            </w:r>
            <w:r>
              <w:rPr/>
              <w:sym w:font="Wingdings" w:char="00A8"/>
            </w:r>
            <w:r>
              <w:t xml:space="preserve">酵母菌 </w:t>
            </w:r>
            <w:r>
              <w:rPr/>
              <w:sym w:font="Wingdings" w:char="00A8"/>
            </w:r>
            <w:r>
              <w:t>沙门氏菌</w:t>
            </w:r>
          </w:p>
          <w:p>
            <w:r>
              <w:t xml:space="preserve">          </w:t>
            </w:r>
            <w:r>
              <w:rPr/>
              <w:sym w:font="Wingdings" w:char="00A8"/>
            </w:r>
            <w:r>
              <w:t xml:space="preserve">副溶血弧菌 </w:t>
            </w:r>
            <w:r>
              <w:rPr/>
              <w:sym w:font="Wingdings" w:char="00A8"/>
            </w:r>
            <w:r>
              <w:t xml:space="preserve">寄生虫   </w:t>
            </w:r>
            <w:r>
              <w:rPr/>
              <w:sym w:font="Wingdings" w:char="00A8"/>
            </w:r>
            <w:r>
              <w:t xml:space="preserve">革兰氏阳性菌  </w:t>
            </w:r>
            <w:r>
              <w:rPr/>
              <w:sym w:font="Wingdings" w:char="00A8"/>
            </w:r>
            <w:r>
              <w:t xml:space="preserve">革兰氏阴性菌      </w:t>
            </w:r>
            <w:r>
              <w:rPr/>
              <w:sym w:font="Wingdings" w:char="00FE"/>
            </w:r>
            <w:r>
              <w:t>其他</w:t>
            </w:r>
            <w:r>
              <w:rPr>
                <w:rFonts w:hint="eastAsia"/>
              </w:rPr>
              <w:t>——菌落总数</w:t>
            </w:r>
          </w:p>
          <w:p>
            <w:r>
              <w:t>物理危害：</w:t>
            </w:r>
            <w:r>
              <w:rPr/>
              <w:sym w:font="Wingdings" w:char="00FE"/>
            </w:r>
            <w:r>
              <w:t xml:space="preserve">金属屑  </w:t>
            </w:r>
            <w:r>
              <w:rPr/>
              <w:sym w:font="Wingdings" w:char="00FE"/>
            </w:r>
            <w:r>
              <w:t xml:space="preserve">玻璃渣  </w:t>
            </w:r>
            <w:r>
              <w:rPr/>
              <w:sym w:font="Wingdings" w:char="00FE"/>
            </w:r>
            <w:r>
              <w:t xml:space="preserve">碎石  </w:t>
            </w:r>
            <w:r>
              <w:rPr/>
              <w:sym w:font="Wingdings" w:char="00FE"/>
            </w:r>
            <w:r>
              <w:t xml:space="preserve">沙子  </w:t>
            </w:r>
            <w:r>
              <w:rPr/>
              <w:sym w:font="Wingdings" w:char="00FE"/>
            </w:r>
            <w:r>
              <w:t>其他异物</w:t>
            </w:r>
          </w:p>
          <w:p>
            <w:pPr>
              <w:tabs>
                <w:tab w:val="right" w:pos="3119"/>
              </w:tabs>
              <w:rPr>
                <w:bCs/>
                <w:lang w:val="en-GB"/>
              </w:rPr>
            </w:pPr>
          </w:p>
          <w:p>
            <w:pPr>
              <w:tabs>
                <w:tab w:val="right" w:pos="3119"/>
              </w:tabs>
              <w:rPr>
                <w:bCs/>
                <w:lang w:val="en-GB"/>
              </w:rPr>
            </w:pPr>
            <w:r>
              <w:rPr>
                <w:bCs/>
                <w:lang w:val="en-GB"/>
              </w:rPr>
              <w:t>原辅材料</w:t>
            </w:r>
            <w:r>
              <w:rPr>
                <w:bCs/>
              </w:rPr>
              <w:t>危害分析</w:t>
            </w:r>
            <w:r>
              <w:rPr>
                <w:bCs/>
                <w:lang w:val="en-GB"/>
              </w:rPr>
              <w:t>：</w:t>
            </w:r>
          </w:p>
          <w:tbl>
            <w:tblPr>
              <w:tblStyle w:val="12"/>
              <w:tblW w:w="86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5"/>
              <w:gridCol w:w="3136"/>
              <w:gridCol w:w="3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2305" w:type="dxa"/>
                  <w:shd w:val="clear" w:color="auto" w:fill="auto"/>
                  <w:vAlign w:val="center"/>
                </w:tcPr>
                <w:p>
                  <w:pPr>
                    <w:jc w:val="center"/>
                    <w:rPr>
                      <w:bCs/>
                      <w:sz w:val="18"/>
                      <w:szCs w:val="18"/>
                    </w:rPr>
                  </w:pPr>
                  <w:r>
                    <w:rPr>
                      <w:bCs/>
                      <w:sz w:val="18"/>
                      <w:szCs w:val="18"/>
                    </w:rPr>
                    <w:t>主要原料名称</w:t>
                  </w:r>
                </w:p>
              </w:tc>
              <w:tc>
                <w:tcPr>
                  <w:tcW w:w="3136" w:type="dxa"/>
                  <w:shd w:val="clear" w:color="auto" w:fill="auto"/>
                  <w:vAlign w:val="center"/>
                </w:tcPr>
                <w:p>
                  <w:pPr>
                    <w:jc w:val="center"/>
                    <w:rPr>
                      <w:bCs/>
                      <w:sz w:val="18"/>
                      <w:szCs w:val="18"/>
                    </w:rPr>
                  </w:pPr>
                  <w:r>
                    <w:rPr>
                      <w:bCs/>
                      <w:sz w:val="18"/>
                      <w:szCs w:val="18"/>
                    </w:rPr>
                    <w:t>潜在危害</w:t>
                  </w:r>
                </w:p>
              </w:tc>
              <w:tc>
                <w:tcPr>
                  <w:tcW w:w="3245" w:type="dxa"/>
                  <w:shd w:val="clear" w:color="auto" w:fill="auto"/>
                  <w:vAlign w:val="center"/>
                </w:tcPr>
                <w:p>
                  <w:pPr>
                    <w:jc w:val="center"/>
                    <w:rPr>
                      <w:bCs/>
                      <w:sz w:val="18"/>
                      <w:szCs w:val="18"/>
                    </w:rPr>
                  </w:pPr>
                  <w:r>
                    <w:rPr>
                      <w:bCs/>
                      <w:sz w:val="18"/>
                      <w:szCs w:val="18"/>
                    </w:rPr>
                    <w:t>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2305" w:type="dxa"/>
                  <w:shd w:val="clear" w:color="auto" w:fill="auto"/>
                  <w:vAlign w:val="center"/>
                </w:tcPr>
                <w:p>
                  <w:pPr>
                    <w:autoSpaceDE w:val="0"/>
                    <w:autoSpaceDN w:val="0"/>
                    <w:adjustRightInd w:val="0"/>
                    <w:rPr>
                      <w:bCs/>
                      <w:sz w:val="18"/>
                      <w:szCs w:val="18"/>
                    </w:rPr>
                  </w:pPr>
                  <w:r>
                    <w:rPr>
                      <w:bCs/>
                      <w:sz w:val="18"/>
                      <w:szCs w:val="18"/>
                    </w:rPr>
                    <w:t>香辛料类（八角、桂皮、小茴香、香叶、草果、白芷、孜然粒、白胡椒等）、</w:t>
                  </w:r>
                </w:p>
                <w:p>
                  <w:pPr>
                    <w:autoSpaceDE w:val="0"/>
                    <w:autoSpaceDN w:val="0"/>
                    <w:adjustRightInd w:val="0"/>
                    <w:rPr>
                      <w:bCs/>
                      <w:sz w:val="18"/>
                      <w:szCs w:val="18"/>
                    </w:rPr>
                  </w:pPr>
                  <w:r>
                    <w:rPr>
                      <w:bCs/>
                      <w:sz w:val="18"/>
                      <w:szCs w:val="18"/>
                    </w:rPr>
                    <w:t>香辛料类（花椒、红花椒、大红袍花椒、红辣椒、小米椒、野山椒、线椒等）</w:t>
                  </w:r>
                </w:p>
              </w:tc>
              <w:tc>
                <w:tcPr>
                  <w:tcW w:w="3136" w:type="dxa"/>
                  <w:shd w:val="clear" w:color="auto" w:fill="auto"/>
                  <w:vAlign w:val="center"/>
                </w:tcPr>
                <w:p>
                  <w:pPr>
                    <w:jc w:val="center"/>
                    <w:rPr>
                      <w:bCs/>
                      <w:sz w:val="18"/>
                      <w:szCs w:val="18"/>
                      <w:lang w:val="en-GB"/>
                    </w:rPr>
                  </w:pPr>
                  <w:r>
                    <w:rPr>
                      <w:sz w:val="18"/>
                      <w:szCs w:val="18"/>
                    </w:rPr>
                    <w:sym w:font="Wingdings" w:char="00A8"/>
                  </w:r>
                  <w:r>
                    <w:rPr>
                      <w:bCs/>
                      <w:sz w:val="18"/>
                      <w:szCs w:val="18"/>
                      <w:lang w:val="en-GB"/>
                    </w:rPr>
                    <w:t>有害微生物</w:t>
                  </w:r>
                  <w:r>
                    <w:rPr>
                      <w:bCs/>
                      <w:sz w:val="18"/>
                      <w:szCs w:val="18"/>
                    </w:rPr>
                    <w:t xml:space="preserve"> </w:t>
                  </w:r>
                  <w:r>
                    <w:rPr>
                      <w:sz w:val="18"/>
                      <w:szCs w:val="18"/>
                    </w:rPr>
                    <w:sym w:font="Wingdings" w:char="00FE"/>
                  </w:r>
                  <w:r>
                    <w:rPr>
                      <w:bCs/>
                      <w:sz w:val="18"/>
                      <w:szCs w:val="18"/>
                      <w:lang w:val="en-GB"/>
                    </w:rPr>
                    <w:t>重金属</w:t>
                  </w:r>
                </w:p>
                <w:p>
                  <w:pPr>
                    <w:autoSpaceDE w:val="0"/>
                    <w:autoSpaceDN w:val="0"/>
                    <w:adjustRightInd w:val="0"/>
                    <w:jc w:val="center"/>
                    <w:rPr>
                      <w:bCs/>
                      <w:sz w:val="18"/>
                      <w:szCs w:val="18"/>
                      <w:lang w:val="en-GB"/>
                    </w:rPr>
                  </w:pPr>
                  <w:r>
                    <w:rPr>
                      <w:bCs/>
                      <w:sz w:val="18"/>
                      <w:szCs w:val="18"/>
                    </w:rPr>
                    <w:sym w:font="Wingdings" w:char="00A8"/>
                  </w:r>
                  <w:r>
                    <w:rPr>
                      <w:bCs/>
                      <w:sz w:val="18"/>
                      <w:szCs w:val="18"/>
                      <w:lang w:val="en-GB"/>
                    </w:rPr>
                    <w:t xml:space="preserve">黄曲霉毒素 </w:t>
                  </w:r>
                  <w:r>
                    <w:rPr>
                      <w:bCs/>
                      <w:sz w:val="18"/>
                      <w:szCs w:val="18"/>
                    </w:rPr>
                    <w:sym w:font="Wingdings" w:char="00A8"/>
                  </w:r>
                  <w:r>
                    <w:rPr>
                      <w:bCs/>
                      <w:sz w:val="18"/>
                      <w:szCs w:val="18"/>
                      <w:lang w:val="en-GB"/>
                    </w:rPr>
                    <w:t>苯并芘</w:t>
                  </w:r>
                </w:p>
                <w:p>
                  <w:pPr>
                    <w:jc w:val="center"/>
                    <w:rPr>
                      <w:bCs/>
                      <w:sz w:val="18"/>
                      <w:szCs w:val="18"/>
                    </w:rPr>
                  </w:pPr>
                  <w:r>
                    <w:rPr>
                      <w:sz w:val="18"/>
                      <w:szCs w:val="18"/>
                    </w:rPr>
                    <w:sym w:font="Wingdings" w:char="00FE"/>
                  </w:r>
                  <w:r>
                    <w:rPr>
                      <w:bCs/>
                      <w:sz w:val="18"/>
                      <w:szCs w:val="18"/>
                      <w:lang w:val="en-GB"/>
                    </w:rPr>
                    <w:t>农药残留</w:t>
                  </w:r>
                  <w:r>
                    <w:rPr>
                      <w:bCs/>
                      <w:sz w:val="18"/>
                      <w:szCs w:val="18"/>
                    </w:rPr>
                    <w:t xml:space="preserve">  </w:t>
                  </w:r>
                  <w:r>
                    <w:rPr>
                      <w:sz w:val="18"/>
                      <w:szCs w:val="18"/>
                    </w:rPr>
                    <w:sym w:font="Wingdings" w:char="00A8"/>
                  </w:r>
                  <w:r>
                    <w:rPr>
                      <w:bCs/>
                      <w:sz w:val="18"/>
                      <w:szCs w:val="18"/>
                    </w:rPr>
                    <w:t>兽</w:t>
                  </w:r>
                  <w:r>
                    <w:rPr>
                      <w:bCs/>
                      <w:sz w:val="18"/>
                      <w:szCs w:val="18"/>
                      <w:lang w:val="en-GB"/>
                    </w:rPr>
                    <w:t>药残留</w:t>
                  </w:r>
                </w:p>
              </w:tc>
              <w:tc>
                <w:tcPr>
                  <w:tcW w:w="3245" w:type="dxa"/>
                  <w:shd w:val="clear" w:color="auto" w:fill="auto"/>
                  <w:vAlign w:val="center"/>
                </w:tcPr>
                <w:p>
                  <w:pPr>
                    <w:autoSpaceDE w:val="0"/>
                    <w:autoSpaceDN w:val="0"/>
                    <w:adjustRightInd w:val="0"/>
                    <w:jc w:val="center"/>
                    <w:rPr>
                      <w:bCs/>
                      <w:sz w:val="18"/>
                      <w:szCs w:val="18"/>
                    </w:rPr>
                  </w:pPr>
                  <w:r>
                    <w:rPr>
                      <w:sz w:val="18"/>
                      <w:szCs w:val="18"/>
                    </w:rPr>
                    <w:sym w:font="Wingdings" w:char="00A8"/>
                  </w:r>
                  <w:r>
                    <w:rPr>
                      <w:bCs/>
                      <w:sz w:val="18"/>
                      <w:szCs w:val="18"/>
                    </w:rPr>
                    <w:t>向供方索取检测报告</w:t>
                  </w:r>
                </w:p>
                <w:p>
                  <w:pPr>
                    <w:autoSpaceDE w:val="0"/>
                    <w:autoSpaceDN w:val="0"/>
                    <w:adjustRightInd w:val="0"/>
                    <w:jc w:val="center"/>
                    <w:rPr>
                      <w:bCs/>
                      <w:sz w:val="18"/>
                      <w:szCs w:val="18"/>
                    </w:rPr>
                  </w:pPr>
                  <w:r>
                    <w:rPr>
                      <w:bCs/>
                      <w:sz w:val="18"/>
                      <w:szCs w:val="18"/>
                    </w:rPr>
                    <w:sym w:font="Wingdings" w:char="00FE"/>
                  </w:r>
                  <w:r>
                    <w:rPr>
                      <w:bCs/>
                      <w:sz w:val="18"/>
                      <w:szCs w:val="18"/>
                    </w:rPr>
                    <w:t>企业自行检测</w:t>
                  </w:r>
                </w:p>
                <w:p>
                  <w:pPr>
                    <w:autoSpaceDE w:val="0"/>
                    <w:autoSpaceDN w:val="0"/>
                    <w:adjustRightInd w:val="0"/>
                    <w:jc w:val="center"/>
                    <w:rPr>
                      <w:bCs/>
                      <w:sz w:val="18"/>
                      <w:szCs w:val="18"/>
                    </w:rPr>
                  </w:pPr>
                  <w:r>
                    <w:rPr>
                      <w:bCs/>
                      <w:sz w:val="18"/>
                      <w:szCs w:val="18"/>
                    </w:rPr>
                    <w:sym w:font="Wingdings" w:char="00FE"/>
                  </w:r>
                  <w:r>
                    <w:rPr>
                      <w:bCs/>
                      <w:sz w:val="18"/>
                      <w:szCs w:val="18"/>
                    </w:rPr>
                    <w:t>第三方检测报告</w:t>
                  </w:r>
                  <w:r>
                    <w:rPr>
                      <w:rFonts w:hint="eastAsia"/>
                      <w:bCs/>
                      <w:sz w:val="18"/>
                      <w:szCs w:val="18"/>
                    </w:rPr>
                    <w:t>（重金属送检第三方）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305" w:type="dxa"/>
                  <w:shd w:val="clear" w:color="auto" w:fill="auto"/>
                  <w:vAlign w:val="center"/>
                </w:tcPr>
                <w:p>
                  <w:pPr>
                    <w:autoSpaceDE w:val="0"/>
                    <w:autoSpaceDN w:val="0"/>
                    <w:adjustRightInd w:val="0"/>
                    <w:jc w:val="center"/>
                    <w:rPr>
                      <w:bCs/>
                      <w:sz w:val="18"/>
                      <w:szCs w:val="18"/>
                      <w:lang w:val="en-GB"/>
                    </w:rPr>
                  </w:pPr>
                  <w:r>
                    <w:rPr>
                      <w:bCs/>
                      <w:sz w:val="18"/>
                      <w:szCs w:val="18"/>
                      <w:lang w:val="en-GB"/>
                    </w:rPr>
                    <w:t>水</w:t>
                  </w:r>
                </w:p>
              </w:tc>
              <w:tc>
                <w:tcPr>
                  <w:tcW w:w="3136" w:type="dxa"/>
                  <w:shd w:val="clear" w:color="auto" w:fill="auto"/>
                  <w:vAlign w:val="center"/>
                </w:tcPr>
                <w:p>
                  <w:pPr>
                    <w:jc w:val="center"/>
                    <w:rPr>
                      <w:bCs/>
                      <w:sz w:val="18"/>
                      <w:szCs w:val="18"/>
                      <w:lang w:val="en-GB"/>
                    </w:rPr>
                  </w:pPr>
                  <w:r>
                    <w:rPr>
                      <w:bCs/>
                      <w:sz w:val="18"/>
                      <w:szCs w:val="18"/>
                    </w:rPr>
                    <w:sym w:font="Wingdings" w:char="00FE"/>
                  </w:r>
                  <w:r>
                    <w:rPr>
                      <w:bCs/>
                      <w:sz w:val="18"/>
                      <w:szCs w:val="18"/>
                      <w:lang w:val="en-GB"/>
                    </w:rPr>
                    <w:t>有害微生物</w:t>
                  </w:r>
                  <w:r>
                    <w:rPr>
                      <w:bCs/>
                      <w:sz w:val="18"/>
                      <w:szCs w:val="18"/>
                    </w:rPr>
                    <w:t xml:space="preserve"> </w:t>
                  </w:r>
                  <w:r>
                    <w:rPr>
                      <w:sz w:val="18"/>
                      <w:szCs w:val="18"/>
                    </w:rPr>
                    <w:sym w:font="Wingdings" w:char="00FE"/>
                  </w:r>
                  <w:r>
                    <w:rPr>
                      <w:bCs/>
                      <w:sz w:val="18"/>
                      <w:szCs w:val="18"/>
                      <w:lang w:val="en-GB"/>
                    </w:rPr>
                    <w:t>重金属</w:t>
                  </w:r>
                </w:p>
                <w:p>
                  <w:pPr>
                    <w:autoSpaceDE w:val="0"/>
                    <w:autoSpaceDN w:val="0"/>
                    <w:adjustRightInd w:val="0"/>
                    <w:ind w:firstLine="540" w:firstLineChars="300"/>
                    <w:rPr>
                      <w:bCs/>
                      <w:sz w:val="18"/>
                      <w:szCs w:val="18"/>
                      <w:lang w:val="en-GB"/>
                    </w:rPr>
                  </w:pPr>
                  <w:r>
                    <w:rPr>
                      <w:sz w:val="18"/>
                      <w:szCs w:val="18"/>
                    </w:rPr>
                    <w:sym w:font="Wingdings" w:char="00A8"/>
                  </w:r>
                  <w:r>
                    <w:rPr>
                      <w:bCs/>
                      <w:sz w:val="18"/>
                      <w:szCs w:val="18"/>
                      <w:lang w:val="en-GB"/>
                    </w:rPr>
                    <w:t>黄曲霉毒素</w:t>
                  </w:r>
                  <w:r>
                    <w:rPr>
                      <w:bCs/>
                      <w:sz w:val="18"/>
                      <w:szCs w:val="18"/>
                    </w:rPr>
                    <w:sym w:font="Wingdings" w:char="00A8"/>
                  </w:r>
                  <w:r>
                    <w:rPr>
                      <w:bCs/>
                      <w:sz w:val="18"/>
                      <w:szCs w:val="18"/>
                      <w:lang w:val="en-GB"/>
                    </w:rPr>
                    <w:t>苯并芘</w:t>
                  </w:r>
                </w:p>
                <w:p>
                  <w:pPr>
                    <w:jc w:val="center"/>
                    <w:rPr>
                      <w:bCs/>
                      <w:sz w:val="18"/>
                      <w:szCs w:val="18"/>
                      <w:lang w:val="en-GB"/>
                    </w:rPr>
                  </w:pPr>
                  <w:r>
                    <w:rPr>
                      <w:sz w:val="18"/>
                      <w:szCs w:val="18"/>
                    </w:rPr>
                    <w:sym w:font="Wingdings" w:char="00A8"/>
                  </w:r>
                  <w:r>
                    <w:rPr>
                      <w:bCs/>
                      <w:sz w:val="18"/>
                      <w:szCs w:val="18"/>
                      <w:lang w:val="en-GB"/>
                    </w:rPr>
                    <w:t>农药残留</w:t>
                  </w:r>
                  <w:r>
                    <w:rPr>
                      <w:bCs/>
                      <w:sz w:val="18"/>
                      <w:szCs w:val="18"/>
                    </w:rPr>
                    <w:t xml:space="preserve">  </w:t>
                  </w:r>
                  <w:r>
                    <w:rPr>
                      <w:bCs/>
                      <w:sz w:val="18"/>
                      <w:szCs w:val="18"/>
                    </w:rPr>
                    <w:sym w:font="Wingdings" w:char="00A8"/>
                  </w:r>
                  <w:r>
                    <w:rPr>
                      <w:bCs/>
                      <w:sz w:val="18"/>
                      <w:szCs w:val="18"/>
                    </w:rPr>
                    <w:t>兽</w:t>
                  </w:r>
                  <w:r>
                    <w:rPr>
                      <w:bCs/>
                      <w:sz w:val="18"/>
                      <w:szCs w:val="18"/>
                      <w:lang w:val="en-GB"/>
                    </w:rPr>
                    <w:t>药残留</w:t>
                  </w:r>
                </w:p>
              </w:tc>
              <w:tc>
                <w:tcPr>
                  <w:tcW w:w="3245" w:type="dxa"/>
                  <w:shd w:val="clear" w:color="auto" w:fill="auto"/>
                  <w:vAlign w:val="center"/>
                </w:tcPr>
                <w:p>
                  <w:pPr>
                    <w:autoSpaceDE w:val="0"/>
                    <w:autoSpaceDN w:val="0"/>
                    <w:adjustRightInd w:val="0"/>
                    <w:jc w:val="center"/>
                    <w:rPr>
                      <w:bCs/>
                      <w:sz w:val="18"/>
                      <w:szCs w:val="18"/>
                    </w:rPr>
                  </w:pPr>
                  <w:r>
                    <w:rPr>
                      <w:sz w:val="18"/>
                      <w:szCs w:val="18"/>
                    </w:rPr>
                    <w:sym w:font="Wingdings" w:char="00A8"/>
                  </w:r>
                  <w:r>
                    <w:rPr>
                      <w:bCs/>
                      <w:sz w:val="18"/>
                      <w:szCs w:val="18"/>
                    </w:rPr>
                    <w:t>向供方索取检测报告</w:t>
                  </w:r>
                </w:p>
                <w:p>
                  <w:pPr>
                    <w:autoSpaceDE w:val="0"/>
                    <w:autoSpaceDN w:val="0"/>
                    <w:adjustRightInd w:val="0"/>
                    <w:jc w:val="center"/>
                    <w:rPr>
                      <w:bCs/>
                      <w:sz w:val="18"/>
                      <w:szCs w:val="18"/>
                    </w:rPr>
                  </w:pPr>
                  <w:r>
                    <w:rPr>
                      <w:bCs/>
                      <w:sz w:val="18"/>
                      <w:szCs w:val="18"/>
                    </w:rPr>
                    <w:sym w:font="Wingdings" w:char="00FE"/>
                  </w:r>
                  <w:r>
                    <w:rPr>
                      <w:bCs/>
                      <w:sz w:val="18"/>
                      <w:szCs w:val="18"/>
                    </w:rPr>
                    <w:t>企业自行检测</w:t>
                  </w:r>
                </w:p>
                <w:p>
                  <w:pPr>
                    <w:autoSpaceDE w:val="0"/>
                    <w:autoSpaceDN w:val="0"/>
                    <w:adjustRightInd w:val="0"/>
                    <w:jc w:val="center"/>
                    <w:rPr>
                      <w:bCs/>
                      <w:sz w:val="18"/>
                      <w:szCs w:val="18"/>
                    </w:rPr>
                  </w:pPr>
                  <w:r>
                    <w:rPr>
                      <w:bCs/>
                      <w:sz w:val="18"/>
                      <w:szCs w:val="18"/>
                    </w:rPr>
                    <w:sym w:font="Wingdings" w:char="00A8"/>
                  </w:r>
                  <w:r>
                    <w:rPr>
                      <w:bCs/>
                      <w:sz w:val="18"/>
                      <w:szCs w:val="18"/>
                    </w:rPr>
                    <w:t>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305" w:type="dxa"/>
                  <w:shd w:val="clear" w:color="auto" w:fill="auto"/>
                  <w:vAlign w:val="center"/>
                </w:tcPr>
                <w:p>
                  <w:pPr>
                    <w:snapToGrid w:val="0"/>
                    <w:rPr>
                      <w:bCs/>
                      <w:sz w:val="18"/>
                      <w:szCs w:val="18"/>
                    </w:rPr>
                  </w:pPr>
                  <w:r>
                    <w:rPr>
                      <w:bCs/>
                      <w:sz w:val="18"/>
                      <w:szCs w:val="18"/>
                    </w:rPr>
                    <w:t>食品用多层复合袋</w:t>
                  </w:r>
                </w:p>
              </w:tc>
              <w:tc>
                <w:tcPr>
                  <w:tcW w:w="3136" w:type="dxa"/>
                  <w:shd w:val="clear" w:color="auto" w:fill="auto"/>
                  <w:vAlign w:val="center"/>
                </w:tcPr>
                <w:p>
                  <w:pPr>
                    <w:jc w:val="center"/>
                    <w:rPr>
                      <w:bCs/>
                      <w:sz w:val="18"/>
                      <w:szCs w:val="18"/>
                      <w:lang w:val="en-GB"/>
                    </w:rPr>
                  </w:pPr>
                  <w:r>
                    <w:rPr>
                      <w:bCs/>
                      <w:sz w:val="18"/>
                      <w:szCs w:val="18"/>
                    </w:rPr>
                    <w:sym w:font="Wingdings" w:char="00FE"/>
                  </w:r>
                  <w:r>
                    <w:rPr>
                      <w:bCs/>
                      <w:sz w:val="18"/>
                      <w:szCs w:val="18"/>
                      <w:lang w:val="en-GB"/>
                    </w:rPr>
                    <w:t>有害微生物</w:t>
                  </w:r>
                  <w:r>
                    <w:rPr>
                      <w:bCs/>
                      <w:sz w:val="18"/>
                      <w:szCs w:val="18"/>
                    </w:rPr>
                    <w:t xml:space="preserve">  </w:t>
                  </w:r>
                  <w:r>
                    <w:rPr>
                      <w:sz w:val="18"/>
                      <w:szCs w:val="18"/>
                    </w:rPr>
                    <w:sym w:font="Wingdings" w:char="00FE"/>
                  </w:r>
                  <w:r>
                    <w:rPr>
                      <w:bCs/>
                      <w:sz w:val="18"/>
                      <w:szCs w:val="18"/>
                      <w:lang w:val="en-GB"/>
                    </w:rPr>
                    <w:t>重金属</w:t>
                  </w:r>
                </w:p>
                <w:p>
                  <w:pPr>
                    <w:autoSpaceDE w:val="0"/>
                    <w:autoSpaceDN w:val="0"/>
                    <w:adjustRightInd w:val="0"/>
                    <w:jc w:val="center"/>
                    <w:rPr>
                      <w:bCs/>
                      <w:sz w:val="18"/>
                      <w:szCs w:val="18"/>
                      <w:lang w:val="en-GB"/>
                    </w:rPr>
                  </w:pPr>
                  <w:r>
                    <w:rPr>
                      <w:bCs/>
                      <w:sz w:val="18"/>
                      <w:szCs w:val="18"/>
                    </w:rPr>
                    <w:sym w:font="Wingdings" w:char="00A8"/>
                  </w:r>
                  <w:r>
                    <w:rPr>
                      <w:bCs/>
                      <w:sz w:val="18"/>
                      <w:szCs w:val="18"/>
                      <w:lang w:val="en-GB"/>
                    </w:rPr>
                    <w:t xml:space="preserve">黄曲霉毒素 </w:t>
                  </w:r>
                  <w:r>
                    <w:rPr>
                      <w:bCs/>
                      <w:sz w:val="18"/>
                      <w:szCs w:val="18"/>
                    </w:rPr>
                    <w:sym w:font="Wingdings" w:char="00A8"/>
                  </w:r>
                  <w:r>
                    <w:rPr>
                      <w:bCs/>
                      <w:sz w:val="18"/>
                      <w:szCs w:val="18"/>
                      <w:lang w:val="en-GB"/>
                    </w:rPr>
                    <w:t>苯并芘</w:t>
                  </w:r>
                </w:p>
                <w:p>
                  <w:pPr>
                    <w:jc w:val="center"/>
                    <w:rPr>
                      <w:bCs/>
                      <w:sz w:val="18"/>
                      <w:szCs w:val="18"/>
                      <w:lang w:val="en-GB"/>
                    </w:rPr>
                  </w:pPr>
                  <w:r>
                    <w:rPr>
                      <w:bCs/>
                      <w:sz w:val="18"/>
                      <w:szCs w:val="18"/>
                    </w:rPr>
                    <w:sym w:font="Wingdings" w:char="00A8"/>
                  </w:r>
                  <w:r>
                    <w:rPr>
                      <w:bCs/>
                      <w:sz w:val="18"/>
                      <w:szCs w:val="18"/>
                      <w:lang w:val="en-GB"/>
                    </w:rPr>
                    <w:t>农药残留</w:t>
                  </w:r>
                  <w:r>
                    <w:rPr>
                      <w:bCs/>
                      <w:sz w:val="18"/>
                      <w:szCs w:val="18"/>
                    </w:rPr>
                    <w:t xml:space="preserve">  </w:t>
                  </w:r>
                  <w:r>
                    <w:rPr>
                      <w:bCs/>
                      <w:sz w:val="18"/>
                      <w:szCs w:val="18"/>
                    </w:rPr>
                    <w:sym w:font="Wingdings" w:char="00A8"/>
                  </w:r>
                  <w:r>
                    <w:rPr>
                      <w:bCs/>
                      <w:sz w:val="18"/>
                      <w:szCs w:val="18"/>
                    </w:rPr>
                    <w:t>兽</w:t>
                  </w:r>
                  <w:r>
                    <w:rPr>
                      <w:bCs/>
                      <w:sz w:val="18"/>
                      <w:szCs w:val="18"/>
                      <w:lang w:val="en-GB"/>
                    </w:rPr>
                    <w:t>药残留</w:t>
                  </w:r>
                </w:p>
                <w:p>
                  <w:pPr>
                    <w:jc w:val="center"/>
                    <w:rPr>
                      <w:bCs/>
                      <w:sz w:val="18"/>
                      <w:szCs w:val="18"/>
                      <w:lang w:val="en-GB"/>
                    </w:rPr>
                  </w:pPr>
                  <w:r>
                    <w:rPr>
                      <w:bCs/>
                      <w:sz w:val="18"/>
                      <w:szCs w:val="18"/>
                    </w:rPr>
                    <w:sym w:font="Wingdings" w:char="00FE"/>
                  </w:r>
                  <w:r>
                    <w:rPr>
                      <w:sz w:val="18"/>
                      <w:szCs w:val="18"/>
                    </w:rPr>
                    <w:t>溶剂残留</w:t>
                  </w:r>
                </w:p>
              </w:tc>
              <w:tc>
                <w:tcPr>
                  <w:tcW w:w="3245" w:type="dxa"/>
                  <w:shd w:val="clear" w:color="auto" w:fill="auto"/>
                  <w:vAlign w:val="center"/>
                </w:tcPr>
                <w:p>
                  <w:pPr>
                    <w:autoSpaceDE w:val="0"/>
                    <w:autoSpaceDN w:val="0"/>
                    <w:adjustRightInd w:val="0"/>
                    <w:jc w:val="center"/>
                    <w:rPr>
                      <w:bCs/>
                      <w:sz w:val="18"/>
                      <w:szCs w:val="18"/>
                    </w:rPr>
                  </w:pPr>
                  <w:r>
                    <w:rPr>
                      <w:sz w:val="18"/>
                      <w:szCs w:val="18"/>
                    </w:rPr>
                    <w:sym w:font="Wingdings" w:char="00FE"/>
                  </w:r>
                  <w:r>
                    <w:rPr>
                      <w:bCs/>
                      <w:sz w:val="18"/>
                      <w:szCs w:val="18"/>
                    </w:rPr>
                    <w:t>向供方索取检测报告</w:t>
                  </w:r>
                </w:p>
                <w:p>
                  <w:pPr>
                    <w:autoSpaceDE w:val="0"/>
                    <w:autoSpaceDN w:val="0"/>
                    <w:adjustRightInd w:val="0"/>
                    <w:jc w:val="center"/>
                    <w:rPr>
                      <w:bCs/>
                      <w:sz w:val="18"/>
                      <w:szCs w:val="18"/>
                    </w:rPr>
                  </w:pPr>
                  <w:r>
                    <w:rPr>
                      <w:bCs/>
                      <w:sz w:val="18"/>
                      <w:szCs w:val="18"/>
                    </w:rPr>
                    <w:sym w:font="Wingdings" w:char="00A8"/>
                  </w:r>
                  <w:r>
                    <w:rPr>
                      <w:bCs/>
                      <w:sz w:val="18"/>
                      <w:szCs w:val="18"/>
                    </w:rPr>
                    <w:t>企业自行检测</w:t>
                  </w:r>
                </w:p>
                <w:p>
                  <w:pPr>
                    <w:autoSpaceDE w:val="0"/>
                    <w:autoSpaceDN w:val="0"/>
                    <w:adjustRightInd w:val="0"/>
                    <w:jc w:val="center"/>
                    <w:rPr>
                      <w:bCs/>
                      <w:sz w:val="18"/>
                      <w:szCs w:val="18"/>
                    </w:rPr>
                  </w:pPr>
                  <w:r>
                    <w:rPr>
                      <w:sz w:val="18"/>
                      <w:szCs w:val="18"/>
                    </w:rPr>
                    <w:sym w:font="Wingdings" w:char="00A8"/>
                  </w:r>
                  <w:r>
                    <w:rPr>
                      <w:bCs/>
                      <w:sz w:val="18"/>
                      <w:szCs w:val="18"/>
                    </w:rPr>
                    <w:t>第三方检测报告</w:t>
                  </w:r>
                </w:p>
              </w:tc>
            </w:tr>
          </w:tbl>
          <w:p>
            <w:pPr>
              <w:rPr>
                <w:bCs/>
              </w:rPr>
            </w:pPr>
          </w:p>
          <w:p>
            <w:pPr>
              <w:tabs>
                <w:tab w:val="right" w:pos="3119"/>
              </w:tabs>
              <w:rPr>
                <w:b/>
              </w:rPr>
            </w:pPr>
            <w:r>
              <w:rPr>
                <w:b/>
              </w:rPr>
              <w:t>最终产品危害分析：</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8"/>
              <w:gridCol w:w="2873"/>
              <w:gridCol w:w="3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2278" w:type="dxa"/>
                  <w:shd w:val="clear" w:color="auto" w:fill="auto"/>
                  <w:vAlign w:val="center"/>
                </w:tcPr>
                <w:p>
                  <w:pPr>
                    <w:jc w:val="center"/>
                    <w:rPr>
                      <w:bCs/>
                    </w:rPr>
                  </w:pPr>
                  <w:r>
                    <w:rPr>
                      <w:bCs/>
                      <w:lang w:val="en-GB"/>
                    </w:rPr>
                    <w:t>产品</w:t>
                  </w:r>
                  <w:r>
                    <w:rPr>
                      <w:bCs/>
                    </w:rPr>
                    <w:t>名称</w:t>
                  </w:r>
                </w:p>
              </w:tc>
              <w:tc>
                <w:tcPr>
                  <w:tcW w:w="2873" w:type="dxa"/>
                  <w:shd w:val="clear" w:color="auto" w:fill="auto"/>
                  <w:vAlign w:val="center"/>
                </w:tcPr>
                <w:p>
                  <w:pPr>
                    <w:jc w:val="center"/>
                    <w:rPr>
                      <w:bCs/>
                      <w:lang w:val="en-GB"/>
                    </w:rPr>
                  </w:pPr>
                  <w:r>
                    <w:rPr>
                      <w:bCs/>
                      <w:lang w:val="en-GB"/>
                    </w:rPr>
                    <w:t>潜在危害</w:t>
                  </w:r>
                </w:p>
              </w:tc>
              <w:tc>
                <w:tcPr>
                  <w:tcW w:w="3665" w:type="dxa"/>
                  <w:shd w:val="clear" w:color="auto" w:fill="auto"/>
                  <w:vAlign w:val="center"/>
                </w:tcPr>
                <w:p>
                  <w:pPr>
                    <w:jc w:val="center"/>
                    <w:rPr>
                      <w:bCs/>
                      <w:szCs w:val="24"/>
                      <w:lang w:val="en-GB"/>
                    </w:rPr>
                  </w:pPr>
                  <w:r>
                    <w:rPr>
                      <w:bCs/>
                    </w:rPr>
                    <w:t>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78" w:type="dxa"/>
                  <w:shd w:val="clear" w:color="auto" w:fill="auto"/>
                  <w:vAlign w:val="center"/>
                </w:tcPr>
                <w:p>
                  <w:pPr>
                    <w:autoSpaceDE w:val="0"/>
                    <w:autoSpaceDN w:val="0"/>
                    <w:adjustRightInd w:val="0"/>
                    <w:rPr>
                      <w:bCs/>
                      <w:sz w:val="18"/>
                      <w:szCs w:val="18"/>
                    </w:rPr>
                  </w:pPr>
                  <w:r>
                    <w:rPr>
                      <w:bCs/>
                      <w:sz w:val="18"/>
                      <w:szCs w:val="18"/>
                    </w:rPr>
                    <w:t>香辛料类（八角、桂皮、小茴香、香叶、草果、白芷、孜然粒、白胡椒等）、</w:t>
                  </w:r>
                </w:p>
                <w:p>
                  <w:pPr>
                    <w:jc w:val="center"/>
                    <w:rPr>
                      <w:bCs/>
                    </w:rPr>
                  </w:pPr>
                  <w:r>
                    <w:rPr>
                      <w:bCs/>
                      <w:sz w:val="18"/>
                      <w:szCs w:val="18"/>
                    </w:rPr>
                    <w:t>香辛料类（花椒、红花椒、大红袍花椒、红辣椒、小米椒、野山椒、线椒等）</w:t>
                  </w:r>
                </w:p>
              </w:tc>
              <w:tc>
                <w:tcPr>
                  <w:tcW w:w="2873" w:type="dxa"/>
                  <w:shd w:val="clear" w:color="auto" w:fill="auto"/>
                  <w:vAlign w:val="center"/>
                </w:tcPr>
                <w:p>
                  <w:pPr>
                    <w:jc w:val="center"/>
                    <w:rPr>
                      <w:bCs/>
                      <w:lang w:val="en-GB"/>
                    </w:rPr>
                  </w:pPr>
                  <w:r>
                    <w:rPr/>
                    <w:sym w:font="Wingdings" w:char="00A8"/>
                  </w:r>
                  <w:r>
                    <w:rPr>
                      <w:bCs/>
                      <w:lang w:val="en-GB"/>
                    </w:rPr>
                    <w:t>有害微生物</w:t>
                  </w:r>
                  <w:r>
                    <w:rPr>
                      <w:bCs/>
                    </w:rPr>
                    <w:t xml:space="preserve"> </w:t>
                  </w:r>
                  <w:r>
                    <w:rPr>
                      <w:bCs/>
                    </w:rPr>
                    <w:sym w:font="Wingdings" w:char="00FE"/>
                  </w:r>
                  <w:r>
                    <w:rPr>
                      <w:bCs/>
                      <w:lang w:val="en-GB"/>
                    </w:rPr>
                    <w:t>重金属</w:t>
                  </w:r>
                </w:p>
                <w:p>
                  <w:pPr>
                    <w:autoSpaceDE w:val="0"/>
                    <w:autoSpaceDN w:val="0"/>
                    <w:adjustRightInd w:val="0"/>
                    <w:jc w:val="center"/>
                    <w:rPr>
                      <w:bCs/>
                      <w:lang w:val="en-GB"/>
                    </w:rPr>
                  </w:pPr>
                  <w:r>
                    <w:rPr>
                      <w:bCs/>
                    </w:rPr>
                    <w:sym w:font="Wingdings" w:char="00A8"/>
                  </w:r>
                  <w:r>
                    <w:rPr>
                      <w:bCs/>
                      <w:lang w:val="en-GB"/>
                    </w:rPr>
                    <w:t xml:space="preserve">黄曲霉毒素 </w:t>
                  </w:r>
                  <w:r>
                    <w:rPr>
                      <w:bCs/>
                    </w:rPr>
                    <w:sym w:font="Wingdings" w:char="00A8"/>
                  </w:r>
                  <w:r>
                    <w:rPr>
                      <w:bCs/>
                      <w:lang w:val="en-GB"/>
                    </w:rPr>
                    <w:t>苯并芘</w:t>
                  </w:r>
                </w:p>
                <w:p>
                  <w:pPr>
                    <w:jc w:val="center"/>
                    <w:rPr>
                      <w:bCs/>
                      <w:lang w:val="en-GB"/>
                    </w:rPr>
                  </w:pPr>
                  <w:r>
                    <w:rPr>
                      <w:bCs/>
                    </w:rPr>
                    <w:sym w:font="Wingdings" w:char="00A8"/>
                  </w:r>
                  <w:r>
                    <w:rPr>
                      <w:bCs/>
                      <w:lang w:val="en-GB"/>
                    </w:rPr>
                    <w:t>农药残留</w:t>
                  </w:r>
                  <w:r>
                    <w:rPr>
                      <w:bCs/>
                    </w:rPr>
                    <w:t xml:space="preserve">  </w:t>
                  </w:r>
                  <w:r>
                    <w:rPr>
                      <w:bCs/>
                    </w:rPr>
                    <w:sym w:font="Wingdings" w:char="00A8"/>
                  </w:r>
                  <w:r>
                    <w:rPr>
                      <w:bCs/>
                    </w:rPr>
                    <w:t>兽</w:t>
                  </w:r>
                  <w:r>
                    <w:rPr>
                      <w:bCs/>
                      <w:lang w:val="en-GB"/>
                    </w:rPr>
                    <w:t>药残留</w:t>
                  </w:r>
                </w:p>
              </w:tc>
              <w:tc>
                <w:tcPr>
                  <w:tcW w:w="3665" w:type="dxa"/>
                  <w:shd w:val="clear" w:color="auto" w:fill="auto"/>
                  <w:vAlign w:val="center"/>
                </w:tcPr>
                <w:p>
                  <w:pPr>
                    <w:jc w:val="center"/>
                    <w:rPr>
                      <w:bCs/>
                    </w:rPr>
                  </w:pPr>
                  <w:r>
                    <w:rPr/>
                    <w:sym w:font="Wingdings" w:char="00FE"/>
                  </w:r>
                  <w:r>
                    <w:rPr>
                      <w:bCs/>
                    </w:rPr>
                    <w:t>OPRP</w:t>
                  </w:r>
                </w:p>
                <w:p>
                  <w:pPr>
                    <w:jc w:val="center"/>
                    <w:rPr>
                      <w:bCs/>
                    </w:rPr>
                  </w:pPr>
                  <w:r>
                    <w:rPr/>
                    <w:sym w:font="Wingdings" w:char="00FE"/>
                  </w:r>
                  <w:r>
                    <w:rPr>
                      <w:bCs/>
                    </w:rPr>
                    <w:t>CCPs</w:t>
                  </w:r>
                </w:p>
                <w:p>
                  <w:pPr>
                    <w:jc w:val="center"/>
                    <w:rPr>
                      <w:bCs/>
                    </w:rPr>
                  </w:pPr>
                  <w:r>
                    <w:rPr/>
                    <w:sym w:font="Wingdings" w:char="00FE"/>
                  </w:r>
                  <w:r>
                    <w:rPr>
                      <w:bCs/>
                    </w:rPr>
                    <w:t>作业指导书&amp;SSOP</w:t>
                  </w:r>
                </w:p>
                <w:p>
                  <w:pPr>
                    <w:jc w:val="center"/>
                    <w:rPr>
                      <w:bCs/>
                      <w:lang w:val="en-GB"/>
                    </w:rPr>
                  </w:pPr>
                  <w:r>
                    <w:rPr>
                      <w:bCs/>
                    </w:rPr>
                    <w:sym w:font="Wingdings" w:char="00A8"/>
                  </w:r>
                  <w:r>
                    <w:rPr>
                      <w:bCs/>
                    </w:rPr>
                    <w:t>OPRP &amp;CCPs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78" w:type="dxa"/>
                  <w:shd w:val="clear" w:color="auto" w:fill="auto"/>
                  <w:vAlign w:val="center"/>
                </w:tcPr>
                <w:p>
                  <w:pPr>
                    <w:jc w:val="center"/>
                    <w:rPr>
                      <w:bCs/>
                      <w:sz w:val="18"/>
                      <w:szCs w:val="18"/>
                    </w:rPr>
                  </w:pPr>
                  <w:r>
                    <w:rPr>
                      <w:bCs/>
                      <w:sz w:val="18"/>
                      <w:szCs w:val="18"/>
                    </w:rPr>
                    <w:t>香辛料</w:t>
                  </w:r>
                  <w:r>
                    <w:rPr>
                      <w:rFonts w:hint="eastAsia"/>
                      <w:bCs/>
                      <w:sz w:val="18"/>
                      <w:szCs w:val="18"/>
                    </w:rPr>
                    <w:t>粉</w:t>
                  </w:r>
                  <w:r>
                    <w:rPr>
                      <w:bCs/>
                      <w:sz w:val="18"/>
                      <w:szCs w:val="18"/>
                    </w:rPr>
                    <w:t>类（花椒</w:t>
                  </w:r>
                  <w:r>
                    <w:rPr>
                      <w:rFonts w:hint="eastAsia"/>
                      <w:bCs/>
                      <w:sz w:val="18"/>
                      <w:szCs w:val="18"/>
                    </w:rPr>
                    <w:t>粉</w:t>
                  </w:r>
                  <w:r>
                    <w:rPr>
                      <w:bCs/>
                      <w:sz w:val="18"/>
                      <w:szCs w:val="18"/>
                    </w:rPr>
                    <w:t>、红花椒</w:t>
                  </w:r>
                  <w:r>
                    <w:rPr>
                      <w:rFonts w:hint="eastAsia"/>
                      <w:bCs/>
                      <w:sz w:val="18"/>
                      <w:szCs w:val="18"/>
                    </w:rPr>
                    <w:t>粉</w:t>
                  </w:r>
                  <w:r>
                    <w:rPr>
                      <w:bCs/>
                      <w:sz w:val="18"/>
                      <w:szCs w:val="18"/>
                    </w:rPr>
                    <w:t>、大红袍花椒</w:t>
                  </w:r>
                  <w:r>
                    <w:rPr>
                      <w:rFonts w:hint="eastAsia"/>
                      <w:bCs/>
                      <w:sz w:val="18"/>
                      <w:szCs w:val="18"/>
                    </w:rPr>
                    <w:t>粉</w:t>
                  </w:r>
                  <w:r>
                    <w:rPr>
                      <w:bCs/>
                      <w:sz w:val="18"/>
                      <w:szCs w:val="18"/>
                    </w:rPr>
                    <w:t>、红辣椒</w:t>
                  </w:r>
                  <w:r>
                    <w:rPr>
                      <w:rFonts w:hint="eastAsia"/>
                      <w:bCs/>
                      <w:sz w:val="18"/>
                      <w:szCs w:val="18"/>
                    </w:rPr>
                    <w:t>粉、白胡椒粉、五香粉</w:t>
                  </w:r>
                  <w:r>
                    <w:rPr>
                      <w:bCs/>
                      <w:sz w:val="18"/>
                      <w:szCs w:val="18"/>
                    </w:rPr>
                    <w:t>等）</w:t>
                  </w:r>
                </w:p>
              </w:tc>
              <w:tc>
                <w:tcPr>
                  <w:tcW w:w="2873" w:type="dxa"/>
                  <w:shd w:val="clear" w:color="auto" w:fill="auto"/>
                  <w:vAlign w:val="center"/>
                </w:tcPr>
                <w:p>
                  <w:pPr>
                    <w:jc w:val="center"/>
                    <w:rPr>
                      <w:bCs/>
                      <w:lang w:val="en-GB"/>
                    </w:rPr>
                  </w:pPr>
                  <w:r>
                    <w:rPr/>
                    <w:sym w:font="Wingdings" w:char="00A8"/>
                  </w:r>
                  <w:r>
                    <w:rPr>
                      <w:bCs/>
                      <w:lang w:val="en-GB"/>
                    </w:rPr>
                    <w:t>有害微生物</w:t>
                  </w:r>
                  <w:r>
                    <w:rPr>
                      <w:bCs/>
                    </w:rPr>
                    <w:t xml:space="preserve"> </w:t>
                  </w:r>
                  <w:r>
                    <w:rPr>
                      <w:bCs/>
                    </w:rPr>
                    <w:sym w:font="Wingdings" w:char="00FE"/>
                  </w:r>
                  <w:r>
                    <w:rPr>
                      <w:bCs/>
                      <w:lang w:val="en-GB"/>
                    </w:rPr>
                    <w:t>重金属</w:t>
                  </w:r>
                </w:p>
                <w:p>
                  <w:pPr>
                    <w:autoSpaceDE w:val="0"/>
                    <w:autoSpaceDN w:val="0"/>
                    <w:adjustRightInd w:val="0"/>
                    <w:jc w:val="center"/>
                    <w:rPr>
                      <w:bCs/>
                      <w:lang w:val="en-GB"/>
                    </w:rPr>
                  </w:pPr>
                  <w:r>
                    <w:rPr>
                      <w:bCs/>
                    </w:rPr>
                    <w:sym w:font="Wingdings" w:char="00A8"/>
                  </w:r>
                  <w:r>
                    <w:rPr>
                      <w:bCs/>
                      <w:lang w:val="en-GB"/>
                    </w:rPr>
                    <w:t xml:space="preserve">黄曲霉毒素 </w:t>
                  </w:r>
                  <w:r>
                    <w:rPr>
                      <w:bCs/>
                    </w:rPr>
                    <w:sym w:font="Wingdings" w:char="00A8"/>
                  </w:r>
                  <w:r>
                    <w:rPr>
                      <w:bCs/>
                      <w:lang w:val="en-GB"/>
                    </w:rPr>
                    <w:t>苯并芘</w:t>
                  </w:r>
                </w:p>
                <w:p>
                  <w:pPr>
                    <w:jc w:val="center"/>
                    <w:rPr>
                      <w:bCs/>
                      <w:lang w:val="en-GB"/>
                    </w:rPr>
                  </w:pPr>
                  <w:r>
                    <w:rPr>
                      <w:bCs/>
                    </w:rPr>
                    <w:sym w:font="Wingdings" w:char="00A8"/>
                  </w:r>
                  <w:r>
                    <w:rPr>
                      <w:bCs/>
                      <w:lang w:val="en-GB"/>
                    </w:rPr>
                    <w:t>农药残留</w:t>
                  </w:r>
                  <w:r>
                    <w:rPr>
                      <w:bCs/>
                    </w:rPr>
                    <w:t xml:space="preserve">  </w:t>
                  </w:r>
                  <w:r>
                    <w:rPr>
                      <w:bCs/>
                    </w:rPr>
                    <w:sym w:font="Wingdings" w:char="00A8"/>
                  </w:r>
                  <w:r>
                    <w:rPr>
                      <w:bCs/>
                    </w:rPr>
                    <w:t>兽</w:t>
                  </w:r>
                  <w:r>
                    <w:rPr>
                      <w:bCs/>
                      <w:lang w:val="en-GB"/>
                    </w:rPr>
                    <w:t>药残留</w:t>
                  </w:r>
                </w:p>
              </w:tc>
              <w:tc>
                <w:tcPr>
                  <w:tcW w:w="3665" w:type="dxa"/>
                  <w:shd w:val="clear" w:color="auto" w:fill="auto"/>
                  <w:vAlign w:val="center"/>
                </w:tcPr>
                <w:p>
                  <w:pPr>
                    <w:jc w:val="center"/>
                    <w:rPr>
                      <w:bCs/>
                    </w:rPr>
                  </w:pPr>
                  <w:r>
                    <w:rPr/>
                    <w:sym w:font="Wingdings" w:char="00FE"/>
                  </w:r>
                  <w:r>
                    <w:rPr>
                      <w:bCs/>
                    </w:rPr>
                    <w:t>OPRP</w:t>
                  </w:r>
                </w:p>
                <w:p>
                  <w:pPr>
                    <w:jc w:val="center"/>
                    <w:rPr>
                      <w:bCs/>
                    </w:rPr>
                  </w:pPr>
                  <w:r>
                    <w:rPr/>
                    <w:sym w:font="Wingdings" w:char="00FE"/>
                  </w:r>
                  <w:r>
                    <w:rPr>
                      <w:bCs/>
                    </w:rPr>
                    <w:t>CCPs</w:t>
                  </w:r>
                </w:p>
                <w:p>
                  <w:pPr>
                    <w:jc w:val="center"/>
                    <w:rPr>
                      <w:bCs/>
                    </w:rPr>
                  </w:pPr>
                  <w:r>
                    <w:rPr/>
                    <w:sym w:font="Wingdings" w:char="00FE"/>
                  </w:r>
                  <w:r>
                    <w:rPr>
                      <w:bCs/>
                    </w:rPr>
                    <w:t>作业指导书&amp;SSOP</w:t>
                  </w:r>
                </w:p>
                <w:p>
                  <w:pPr>
                    <w:jc w:val="center"/>
                    <w:rPr>
                      <w:bCs/>
                      <w:lang w:val="en-GB"/>
                    </w:rPr>
                  </w:pPr>
                  <w:r>
                    <w:rPr>
                      <w:bCs/>
                    </w:rPr>
                    <w:sym w:font="Wingdings" w:char="00A8"/>
                  </w:r>
                  <w:r>
                    <w:rPr>
                      <w:bCs/>
                    </w:rPr>
                    <w:t>OPRP &amp;CCPs</w:t>
                  </w:r>
                </w:p>
              </w:tc>
            </w:tr>
          </w:tbl>
          <w:p/>
          <w:p>
            <w:r>
              <w:rPr>
                <w:rFonts w:hint="eastAsia"/>
              </w:rPr>
              <w:t>经远程沟通，组织的产品主要为香辛料类、香辛料粉类，其中香辛料粉类以花椒粉为主；</w:t>
            </w:r>
          </w:p>
          <w:p>
            <w:pPr>
              <w:rPr>
                <w:rFonts w:ascii="宋体" w:hAnsi="宋体"/>
              </w:rPr>
            </w:pPr>
          </w:p>
          <w:p>
            <w:r>
              <w:t>出现、引入的危害：</w:t>
            </w:r>
          </w:p>
          <w:p>
            <w:r>
              <w:rPr/>
              <w:sym w:font="Wingdings" w:char="00FE"/>
            </w:r>
            <w:r>
              <w:t xml:space="preserve">原材料 </w:t>
            </w:r>
            <w:r>
              <w:rPr/>
              <w:sym w:font="Wingdings" w:char="00A8"/>
            </w:r>
            <w:r>
              <w:t xml:space="preserve">加工助剂 </w:t>
            </w:r>
            <w:r>
              <w:rPr/>
              <w:sym w:font="Wingdings" w:char="00A8"/>
            </w:r>
            <w:r>
              <w:t xml:space="preserve">食品添加剂 </w:t>
            </w:r>
            <w:r>
              <w:rPr/>
              <w:sym w:font="Wingdings" w:char="00FE"/>
            </w:r>
            <w:r>
              <w:t xml:space="preserve">加工用水/冰/蒸汽 </w:t>
            </w:r>
            <w:r>
              <w:rPr/>
              <w:sym w:font="Wingdings" w:char="00FE"/>
            </w:r>
            <w:r>
              <w:t xml:space="preserve">接触面  </w:t>
            </w:r>
            <w:r>
              <w:rPr/>
              <w:sym w:font="Wingdings" w:char="00A8"/>
            </w:r>
            <w:r>
              <w:t xml:space="preserve">包装材料 </w:t>
            </w:r>
            <w:r>
              <w:rPr/>
              <w:sym w:font="Wingdings" w:char="00FE"/>
            </w:r>
            <w:r>
              <w:t>其他</w:t>
            </w:r>
            <w:r>
              <w:rPr>
                <w:rFonts w:hint="eastAsia"/>
              </w:rPr>
              <w:t>(运输过程</w:t>
            </w:r>
            <w:r>
              <w:t>)</w:t>
            </w:r>
          </w:p>
          <w:p>
            <w:r>
              <w:t>过程中增加和持续的危害：</w:t>
            </w:r>
          </w:p>
          <w:p>
            <w:pPr>
              <w:rPr>
                <w:u w:val="single"/>
              </w:rPr>
            </w:pPr>
            <w:r>
              <w:rPr/>
              <w:sym w:font="Wingdings" w:char="00FE"/>
            </w:r>
            <w:r>
              <w:t>加工过程：</w:t>
            </w:r>
            <w:r>
              <w:rPr>
                <w:u w:val="single"/>
              </w:rPr>
              <w:t xml:space="preserve">      </w:t>
            </w:r>
            <w:r>
              <w:rPr>
                <w:rFonts w:hint="eastAsia"/>
                <w:u w:val="single"/>
              </w:rPr>
              <w:t>温度控制不当，导致水分超标、产品霉变</w:t>
            </w:r>
            <w:r>
              <w:rPr>
                <w:u w:val="single"/>
              </w:rPr>
              <w:t xml:space="preserve">   </w:t>
            </w:r>
          </w:p>
          <w:p>
            <w:pPr>
              <w:rPr>
                <w:highlight w:val="yellow"/>
                <w:u w:val="single"/>
              </w:rPr>
            </w:pPr>
            <w:r>
              <w:rPr/>
              <w:sym w:font="Wingdings" w:char="00FE"/>
            </w:r>
            <w:r>
              <w:t>储存过程：</w:t>
            </w:r>
            <w:r>
              <w:rPr>
                <w:u w:val="single"/>
              </w:rPr>
              <w:t xml:space="preserve">   </w:t>
            </w:r>
            <w:r>
              <w:rPr>
                <w:rFonts w:hint="eastAsia"/>
                <w:u w:val="single"/>
              </w:rPr>
              <w:t xml:space="preserve"> 温度控制不当，导致产品霉变</w:t>
            </w:r>
            <w:r>
              <w:rPr>
                <w:u w:val="single"/>
              </w:rPr>
              <w:t xml:space="preserve">           </w:t>
            </w:r>
            <w:r>
              <w:rPr>
                <w:rFonts w:hint="eastAsia"/>
                <w:u w:val="single"/>
                <w:lang w:val="en-US" w:eastAsia="zh-CN"/>
              </w:rPr>
              <w:t xml:space="preserve">  </w:t>
            </w:r>
            <w:r>
              <w:rPr>
                <w:u w:val="single"/>
              </w:rPr>
              <w:t xml:space="preserve">  </w:t>
            </w:r>
          </w:p>
          <w:p>
            <w:pPr>
              <w:rPr>
                <w:u w:val="single"/>
              </w:rPr>
            </w:pPr>
            <w:r>
              <w:rPr/>
              <w:sym w:font="Wingdings" w:char="00A8"/>
            </w:r>
            <w:r>
              <w:t>售卖/配送过程：</w:t>
            </w:r>
            <w:r>
              <w:rPr>
                <w:u w:val="single"/>
              </w:rPr>
              <w:t xml:space="preserve">                 </w:t>
            </w:r>
          </w:p>
          <w:p>
            <w:pPr>
              <w:rPr>
                <w:b/>
                <w:bCs/>
                <w:lang w:val="en-GB"/>
              </w:rPr>
            </w:pPr>
            <w:r>
              <w:rPr/>
              <w:sym w:font="Wingdings" w:char="00A8"/>
            </w:r>
            <w:r>
              <w:t>运输过程：</w:t>
            </w:r>
            <w:r>
              <w:rPr>
                <w:u w:val="single"/>
              </w:rPr>
              <w:t xml:space="preserve">   </w:t>
            </w:r>
            <w:r>
              <w:rPr>
                <w:rFonts w:hint="eastAsia"/>
                <w:u w:val="single"/>
              </w:rPr>
              <w:t xml:space="preserve">           </w:t>
            </w:r>
            <w:r>
              <w:rPr>
                <w:u w:val="single"/>
              </w:rPr>
              <w:t xml:space="preserve">   </w:t>
            </w:r>
          </w:p>
          <w:p>
            <w:pPr>
              <w:pStyle w:val="11"/>
              <w:ind w:left="0" w:firstLine="0" w:firstLineChars="0"/>
              <w:rPr>
                <w:rFonts w:ascii="Times New Roman" w:hAnsi="Times New Roman"/>
              </w:rPr>
            </w:pPr>
          </w:p>
          <w:p>
            <w:pPr>
              <w:rPr>
                <w:color w:val="FF0000"/>
              </w:rPr>
            </w:pPr>
            <w:r>
              <w:t>组织确定了所识别最终产品的每种食品安全危害的可接受水平。</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4263"/>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802" w:type="dxa"/>
                  <w:shd w:val="clear" w:color="auto" w:fill="auto"/>
                  <w:vAlign w:val="center"/>
                </w:tcPr>
                <w:p>
                  <w:pPr>
                    <w:jc w:val="center"/>
                    <w:rPr>
                      <w:bCs/>
                      <w:szCs w:val="21"/>
                    </w:rPr>
                  </w:pPr>
                  <w:r>
                    <w:rPr>
                      <w:bCs/>
                      <w:szCs w:val="21"/>
                    </w:rPr>
                    <w:t>控制点示例</w:t>
                  </w:r>
                </w:p>
              </w:tc>
              <w:tc>
                <w:tcPr>
                  <w:tcW w:w="4263" w:type="dxa"/>
                  <w:shd w:val="clear" w:color="auto" w:fill="auto"/>
                  <w:vAlign w:val="bottom"/>
                </w:tcPr>
                <w:p>
                  <w:pPr>
                    <w:jc w:val="center"/>
                    <w:rPr>
                      <w:bCs/>
                      <w:szCs w:val="21"/>
                    </w:rPr>
                  </w:pPr>
                  <w:r>
                    <w:rPr>
                      <w:bCs/>
                      <w:szCs w:val="21"/>
                    </w:rPr>
                    <w:t>接收准则名称/可接受限值</w:t>
                  </w:r>
                </w:p>
              </w:tc>
              <w:tc>
                <w:tcPr>
                  <w:tcW w:w="2266" w:type="dxa"/>
                  <w:shd w:val="clear" w:color="auto" w:fill="auto"/>
                </w:tcPr>
                <w:p>
                  <w:pPr>
                    <w:jc w:val="center"/>
                    <w:rPr>
                      <w:bCs/>
                      <w:szCs w:val="21"/>
                    </w:rPr>
                  </w:pPr>
                  <w:r>
                    <w:rPr>
                      <w:bCs/>
                      <w:szCs w:val="21"/>
                    </w:rPr>
                    <w:t>依据来源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02" w:type="dxa"/>
                  <w:shd w:val="clear" w:color="auto" w:fill="auto"/>
                  <w:vAlign w:val="center"/>
                </w:tcPr>
                <w:p>
                  <w:pPr>
                    <w:rPr>
                      <w:bCs/>
                      <w:szCs w:val="21"/>
                    </w:rPr>
                  </w:pPr>
                  <w:r>
                    <w:rPr>
                      <w:rFonts w:hint="eastAsia"/>
                      <w:bCs/>
                      <w:szCs w:val="21"/>
                    </w:rPr>
                    <w:t>香辛料、香辛料粉</w:t>
                  </w:r>
                </w:p>
              </w:tc>
              <w:tc>
                <w:tcPr>
                  <w:tcW w:w="4263" w:type="dxa"/>
                  <w:shd w:val="clear" w:color="auto" w:fill="auto"/>
                  <w:vAlign w:val="center"/>
                </w:tcPr>
                <w:p>
                  <w:pPr>
                    <w:rPr>
                      <w:bCs/>
                      <w:szCs w:val="21"/>
                    </w:rPr>
                  </w:pPr>
                  <w:r>
                    <w:rPr>
                      <w:rFonts w:hint="eastAsia"/>
                      <w:bCs/>
                      <w:szCs w:val="21"/>
                    </w:rPr>
                    <w:t>按照</w:t>
                  </w:r>
                  <w:r>
                    <w:rPr>
                      <w:rFonts w:hint="eastAsia" w:ascii="Verdana" w:hAnsi="Verdana" w:cs="Verdana"/>
                      <w:color w:val="333333"/>
                      <w:sz w:val="20"/>
                      <w:shd w:val="clear" w:color="auto" w:fill="FFFFFF"/>
                    </w:rPr>
                    <w:t xml:space="preserve"> </w:t>
                  </w:r>
                  <w:r>
                    <w:rPr>
                      <w:rFonts w:hint="eastAsia" w:ascii="宋体" w:hAnsi="宋体"/>
                      <w:sz w:val="24"/>
                    </w:rPr>
                    <w:t>Q/ALYT0001S-2021</w:t>
                  </w:r>
                  <w:r>
                    <w:rPr>
                      <w:rFonts w:hint="eastAsia" w:ascii="Verdana" w:hAnsi="Verdana" w:cs="Verdana"/>
                      <w:color w:val="333333"/>
                      <w:sz w:val="20"/>
                      <w:shd w:val="clear" w:color="auto" w:fill="FFFFFF"/>
                    </w:rPr>
                    <w:t xml:space="preserve"> </w:t>
                  </w:r>
                  <w:r>
                    <w:rPr>
                      <w:rFonts w:hint="eastAsia"/>
                      <w:bCs/>
                      <w:szCs w:val="21"/>
                    </w:rPr>
                    <w:t>执行</w:t>
                  </w:r>
                </w:p>
              </w:tc>
              <w:tc>
                <w:tcPr>
                  <w:tcW w:w="2266" w:type="dxa"/>
                  <w:shd w:val="clear" w:color="auto" w:fill="auto"/>
                  <w:vAlign w:val="bottom"/>
                </w:tcPr>
                <w:p>
                  <w:pPr>
                    <w:rPr>
                      <w:szCs w:val="21"/>
                    </w:rPr>
                  </w:pPr>
                  <w:r>
                    <w:rPr>
                      <w:bCs/>
                      <w:szCs w:val="21"/>
                    </w:rPr>
                    <w:sym w:font="Wingdings" w:char="00FE"/>
                  </w:r>
                  <w:r>
                    <w:rPr>
                      <w:szCs w:val="21"/>
                    </w:rPr>
                    <w:t>法律、法规</w:t>
                  </w:r>
                </w:p>
                <w:p>
                  <w:pPr>
                    <w:rPr>
                      <w:bCs/>
                      <w:szCs w:val="21"/>
                    </w:rPr>
                  </w:pPr>
                  <w:r>
                    <w:rPr>
                      <w:bCs/>
                      <w:szCs w:val="21"/>
                    </w:rPr>
                    <w:sym w:font="Wingdings" w:char="00A8"/>
                  </w:r>
                  <w:r>
                    <w:rPr>
                      <w:szCs w:val="21"/>
                    </w:rPr>
                    <w:t>客户要求</w:t>
                  </w:r>
                </w:p>
                <w:p>
                  <w:pPr>
                    <w:rPr>
                      <w:szCs w:val="21"/>
                    </w:rPr>
                  </w:pPr>
                  <w:r>
                    <w:rPr>
                      <w:szCs w:val="21"/>
                    </w:rPr>
                    <w:sym w:font="Wingdings" w:char="00FE"/>
                  </w:r>
                  <w:r>
                    <w:rPr>
                      <w:szCs w:val="21"/>
                    </w:rPr>
                    <w:t>预期用途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802" w:type="dxa"/>
                  <w:shd w:val="clear" w:color="auto" w:fill="auto"/>
                  <w:vAlign w:val="center"/>
                </w:tcPr>
                <w:p>
                  <w:pPr>
                    <w:jc w:val="center"/>
                    <w:rPr>
                      <w:bCs/>
                      <w:szCs w:val="21"/>
                      <w:lang w:val="en-GB"/>
                    </w:rPr>
                  </w:pPr>
                </w:p>
              </w:tc>
              <w:tc>
                <w:tcPr>
                  <w:tcW w:w="4263" w:type="dxa"/>
                  <w:shd w:val="clear" w:color="auto" w:fill="auto"/>
                  <w:vAlign w:val="center"/>
                </w:tcPr>
                <w:p>
                  <w:pPr>
                    <w:rPr>
                      <w:bCs/>
                      <w:szCs w:val="21"/>
                    </w:rPr>
                  </w:pPr>
                </w:p>
              </w:tc>
              <w:tc>
                <w:tcPr>
                  <w:tcW w:w="2266" w:type="dxa"/>
                  <w:shd w:val="clear" w:color="auto" w:fill="auto"/>
                  <w:vAlign w:val="bottom"/>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802" w:type="dxa"/>
                  <w:shd w:val="clear" w:color="auto" w:fill="auto"/>
                  <w:vAlign w:val="center"/>
                </w:tcPr>
                <w:p>
                  <w:pPr>
                    <w:jc w:val="left"/>
                    <w:rPr>
                      <w:bCs/>
                    </w:rPr>
                  </w:pPr>
                </w:p>
              </w:tc>
              <w:tc>
                <w:tcPr>
                  <w:tcW w:w="4263" w:type="dxa"/>
                  <w:shd w:val="clear" w:color="auto" w:fill="auto"/>
                  <w:vAlign w:val="bottom"/>
                </w:tcPr>
                <w:p>
                  <w:pPr>
                    <w:rPr>
                      <w:bCs/>
                    </w:rPr>
                  </w:pPr>
                </w:p>
              </w:tc>
              <w:tc>
                <w:tcPr>
                  <w:tcW w:w="2266" w:type="dxa"/>
                  <w:shd w:val="clear" w:color="auto" w:fill="auto"/>
                  <w:vAlign w:val="bottom"/>
                </w:tcPr>
                <w:p>
                  <w:pPr>
                    <w:rPr>
                      <w:bCs/>
                      <w:szCs w:val="21"/>
                    </w:rPr>
                  </w:pPr>
                </w:p>
              </w:tc>
            </w:tr>
          </w:tbl>
          <w:p/>
          <w:p>
            <w:r>
              <w:t>控制措施的选择和分类</w:t>
            </w:r>
          </w:p>
          <w:p>
            <w:r>
              <w:t>组织在危害评价的基础上，选择适当的控制措施或控制措施的组合，以防止或将已识别的显著食品安全危害降低到规定的可接受水平。</w:t>
            </w:r>
          </w:p>
          <w:p>
            <w:r>
              <w:t>组织将选定的识别控制措施应采用系统方法进行分类为：</w:t>
            </w:r>
          </w:p>
          <w:p>
            <w:r>
              <w:rPr/>
              <w:sym w:font="Wingdings" w:char="00FE"/>
            </w:r>
            <w:r>
              <w:t xml:space="preserve">OPRP  </w:t>
            </w:r>
            <w:r>
              <w:rPr/>
              <w:sym w:font="Wingdings" w:char="00FE"/>
            </w:r>
            <w:r>
              <w:t xml:space="preserve">CCPs  </w:t>
            </w:r>
            <w:r>
              <w:rPr>
                <w:bCs/>
              </w:rPr>
              <w:sym w:font="Wingdings" w:char="00FE"/>
            </w:r>
            <w:r>
              <w:t xml:space="preserve">OPRP </w:t>
            </w:r>
            <w:r>
              <w:rPr>
                <w:bCs/>
              </w:rPr>
              <w:t>&amp;</w:t>
            </w:r>
            <w:r>
              <w:t>CCPs</w:t>
            </w:r>
          </w:p>
          <w:p/>
          <w:p>
            <w:r>
              <w:t>对于选择的每一项控制措施，评估以下内容：</w:t>
            </w:r>
          </w:p>
          <w:p>
            <w:r>
              <w:rPr/>
              <w:sym w:font="Wingdings" w:char="00FE"/>
            </w:r>
            <w:r>
              <w:rPr>
                <w:bCs/>
              </w:rPr>
              <w:t xml:space="preserve"> </w:t>
            </w:r>
            <w:r>
              <w:t>其功能失效的可能性；</w:t>
            </w:r>
          </w:p>
          <w:p>
            <w:r>
              <w:rPr/>
              <w:sym w:font="Wingdings" w:char="00FE"/>
            </w:r>
            <w:r>
              <w:rPr>
                <w:bCs/>
              </w:rPr>
              <w:t xml:space="preserve"> </w:t>
            </w:r>
            <w:r>
              <w:t>功能失效时后果的严重性；该评估应包括：</w:t>
            </w:r>
          </w:p>
          <w:p>
            <w:r>
              <w:t>1） 对已识别的重大食品安全危害的影响；</w:t>
            </w:r>
          </w:p>
          <w:p>
            <w:r>
              <w:t>2） 与其他控制措施相关的位置；</w:t>
            </w:r>
          </w:p>
          <w:p>
            <w:r>
              <w:t>3） 是否专门制定和实施，将危害降低到可接受的水平；</w:t>
            </w:r>
          </w:p>
          <w:p>
            <w:r>
              <w:t>4） 无论是单一措施还是控制措施组合的一部分</w:t>
            </w:r>
          </w:p>
          <w:p/>
          <w:p>
            <w:r>
              <w:t>对于每项控制措施，系统方法包括对以下各项可行性的评估：</w:t>
            </w:r>
          </w:p>
          <w:p>
            <w:r>
              <w:t>a） 建立可测量的关键限值和/或可测量/可观察的行动标准；</w:t>
            </w:r>
          </w:p>
          <w:p>
            <w:r>
              <w:t>b） 监测以发现任何未能保持在临界极限和/或可测量/可观察到的行动标准内的情况；</w:t>
            </w:r>
          </w:p>
          <w:p>
            <w:r>
              <w:t>c） 故障时及时修正。</w:t>
            </w:r>
          </w:p>
          <w:p>
            <w:r>
              <w:t>控制措施的选择和分类的决策过程和结果应保持为文件化信息。</w:t>
            </w:r>
          </w:p>
          <w:p/>
          <w:p>
            <w:r>
              <w:t>可能影响控制措施的选择和严格性的外部要求（如法律、法规和顾客要求），</w:t>
            </w:r>
          </w:p>
          <w:p>
            <w:r>
              <w:rPr/>
              <w:sym w:font="Wingdings" w:char="00FE"/>
            </w:r>
            <w:r>
              <w:t>已收集相关法规</w:t>
            </w:r>
          </w:p>
          <w:p>
            <w:r>
              <w:rPr/>
              <w:sym w:font="Wingdings" w:char="00A8"/>
            </w:r>
            <w:r>
              <w:t>未收集相关法规</w:t>
            </w:r>
          </w:p>
          <w:p>
            <w:r>
              <w:rPr/>
              <w:sym w:font="Wingdings" w:char="00A8"/>
            </w:r>
            <w:r>
              <w:t>收集相关法规不全面，说明：</w:t>
            </w:r>
            <w:r>
              <w:rPr>
                <w:u w:val="single"/>
              </w:rPr>
              <w:t xml:space="preserve">                  </w:t>
            </w:r>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340" w:hRule="atLeast"/>
        </w:trPr>
        <w:tc>
          <w:tcPr>
            <w:tcW w:w="2174" w:type="dxa"/>
            <w:vMerge w:val="restart"/>
            <w:shd w:val="clear" w:color="auto" w:fill="auto"/>
          </w:tcPr>
          <w:p>
            <w:r>
              <w:t>控制措施组合的确认</w:t>
            </w:r>
          </w:p>
        </w:tc>
        <w:tc>
          <w:tcPr>
            <w:tcW w:w="936" w:type="dxa"/>
            <w:gridSpan w:val="2"/>
            <w:vMerge w:val="restart"/>
            <w:shd w:val="clear" w:color="auto" w:fill="auto"/>
          </w:tcPr>
          <w:p>
            <w:r>
              <w:t>F8.5.3</w:t>
            </w:r>
          </w:p>
        </w:tc>
        <w:tc>
          <w:tcPr>
            <w:tcW w:w="745" w:type="dxa"/>
            <w:shd w:val="clear" w:color="auto" w:fill="auto"/>
          </w:tcPr>
          <w:p>
            <w:r>
              <w:rPr>
                <w:rFonts w:hint="eastAsia"/>
              </w:rPr>
              <w:t>文件证据</w:t>
            </w:r>
          </w:p>
        </w:tc>
        <w:tc>
          <w:tcPr>
            <w:tcW w:w="9523" w:type="dxa"/>
            <w:shd w:val="clear" w:color="auto" w:fill="auto"/>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如：</w:t>
            </w:r>
            <w:r>
              <w:rPr>
                <w:rFonts w:hint="eastAsia"/>
                <w:color w:val="000000" w:themeColor="text1"/>
                <w14:textFill>
                  <w14:solidFill>
                    <w14:schemeClr w14:val="tx1"/>
                  </w14:solidFill>
                </w14:textFill>
              </w:rPr>
              <w:sym w:font="Wingdings 2" w:char="F052"/>
            </w:r>
            <w:r>
              <w:rPr>
                <w:rFonts w:hint="eastAsia"/>
                <w:color w:val="000000" w:themeColor="text1"/>
                <w14:textFill>
                  <w14:solidFill>
                    <w14:schemeClr w14:val="tx1"/>
                  </w14:solidFill>
                </w14:textFill>
              </w:rPr>
              <w:t>手册8</w:t>
            </w:r>
            <w:r>
              <w:rPr>
                <w:color w:val="000000" w:themeColor="text1"/>
                <w14:textFill>
                  <w14:solidFill>
                    <w14:schemeClr w14:val="tx1"/>
                  </w14:solidFill>
                </w14:textFill>
              </w:rPr>
              <w:t>.5.3</w:t>
            </w:r>
            <w:r>
              <w:rPr>
                <w:rFonts w:hint="eastAsia"/>
                <w:color w:val="000000" w:themeColor="text1"/>
                <w14:textFill>
                  <w14:solidFill>
                    <w14:schemeClr w14:val="tx1"/>
                  </w14:solidFill>
                </w14:textFill>
              </w:rPr>
              <w:t>条款</w:t>
            </w:r>
          </w:p>
        </w:tc>
        <w:tc>
          <w:tcPr>
            <w:tcW w:w="1290" w:type="dxa"/>
            <w:vMerge w:val="restart"/>
            <w:shd w:val="clear" w:color="auto" w:fill="auto"/>
          </w:tcPr>
          <w:p>
            <w:pPr>
              <w:rPr>
                <w:color w:val="000000" w:themeColor="text1"/>
                <w14:textFill>
                  <w14:solidFill>
                    <w14:schemeClr w14:val="tx1"/>
                  </w14:solidFill>
                </w14:textFill>
              </w:rPr>
            </w:pPr>
            <w:r>
              <w:rPr>
                <w:color w:val="000000" w:themeColor="text1"/>
                <w14:textFill>
                  <w14:solidFill>
                    <w14:schemeClr w14:val="tx1"/>
                  </w14:solidFill>
                </w14:textFill>
              </w:rPr>
              <w:sym w:font="Wingdings" w:char="00FE"/>
            </w:r>
            <w:r>
              <w:rPr>
                <w:color w:val="000000" w:themeColor="text1"/>
                <w14:textFill>
                  <w14:solidFill>
                    <w14:schemeClr w14:val="tx1"/>
                  </w14:solidFill>
                </w14:textFill>
              </w:rPr>
              <w:t>符合</w:t>
            </w:r>
          </w:p>
          <w:p>
            <w:pPr>
              <w:rPr>
                <w:color w:val="000000" w:themeColor="text1"/>
                <w14:textFill>
                  <w14:solidFill>
                    <w14:schemeClr w14:val="tx1"/>
                  </w14:solidFill>
                </w14:textFill>
              </w:rPr>
            </w:pPr>
            <w:r>
              <w:rPr>
                <w:color w:val="000000" w:themeColor="text1"/>
                <w14:textFill>
                  <w14:solidFill>
                    <w14:schemeClr w14:val="tx1"/>
                  </w14:solidFill>
                </w14:textFill>
              </w:rPr>
              <w:sym w:font="Wingdings" w:char="00A8"/>
            </w:r>
            <w:r>
              <w:rPr>
                <w:color w:val="000000" w:themeColor="text1"/>
                <w14:textFill>
                  <w14:solidFill>
                    <w14:schemeClr w14:val="tx1"/>
                  </w14:solidFill>
                </w14:textFill>
              </w:rP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2402"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t>运行证据</w:t>
            </w:r>
          </w:p>
        </w:tc>
        <w:tc>
          <w:tcPr>
            <w:tcW w:w="9523" w:type="dxa"/>
            <w:shd w:val="clear" w:color="auto" w:fill="auto"/>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组织就OPRP与CCP的组合能够防止、消除或将成品中食品安全危害减少到可接受水平进行了确认。</w:t>
            </w:r>
          </w:p>
          <w:p>
            <w:pPr>
              <w:rPr>
                <w:color w:val="000000" w:themeColor="text1"/>
                <w:u w:val="single"/>
                <w14:textFill>
                  <w14:solidFill>
                    <w14:schemeClr w14:val="tx1"/>
                  </w14:solidFill>
                </w14:textFill>
              </w:rPr>
            </w:pPr>
            <w:r>
              <w:rPr>
                <w:color w:val="000000" w:themeColor="text1"/>
                <w14:textFill>
                  <w14:solidFill>
                    <w14:schemeClr w14:val="tx1"/>
                  </w14:solidFill>
                </w14:textFill>
              </w:rPr>
              <w:t>抽取成品型式检验相关记录名称：</w:t>
            </w:r>
            <w:r>
              <w:rPr>
                <w:color w:val="000000" w:themeColor="text1"/>
                <w:u w:val="single"/>
                <w14:textFill>
                  <w14:solidFill>
                    <w14:schemeClr w14:val="tx1"/>
                  </w14:solidFill>
                </w14:textFill>
              </w:rPr>
              <w:t xml:space="preserve">《 </w:t>
            </w:r>
            <w:r>
              <w:rPr>
                <w:rFonts w:hint="eastAsia"/>
                <w:color w:val="000000" w:themeColor="text1"/>
                <w:u w:val="single"/>
                <w14:textFill>
                  <w14:solidFill>
                    <w14:schemeClr w14:val="tx1"/>
                  </w14:solidFill>
                </w14:textFill>
              </w:rPr>
              <w:t>检测报告</w:t>
            </w:r>
            <w:r>
              <w:rPr>
                <w:color w:val="000000" w:themeColor="text1"/>
                <w:u w:val="single"/>
                <w14:textFill>
                  <w14:solidFill>
                    <w14:schemeClr w14:val="tx1"/>
                  </w14:solidFill>
                </w14:textFill>
              </w:rPr>
              <w:t xml:space="preserve"> 》</w:t>
            </w:r>
          </w:p>
          <w:p>
            <w:pPr>
              <w:adjustRightInd w:val="0"/>
              <w:snapToGrid w:val="0"/>
              <w:spacing w:line="240" w:lineRule="atLeast"/>
              <w:ind w:firstLine="211" w:firstLineChars="100"/>
              <w:rPr>
                <w:rFonts w:ascii="宋体" w:hAnsi="宋体"/>
                <w:b/>
                <w:bCs/>
                <w:szCs w:val="21"/>
                <w:u w:val="single"/>
              </w:rPr>
            </w:pPr>
            <w:r>
              <w:rPr>
                <w:rFonts w:hint="eastAsia" w:ascii="宋体" w:hAnsi="宋体"/>
                <w:b/>
                <w:bCs/>
                <w:szCs w:val="21"/>
                <w:u w:val="single"/>
              </w:rPr>
              <w:t>有《PRP现场验证记录》，202</w:t>
            </w:r>
            <w:r>
              <w:rPr>
                <w:rFonts w:ascii="宋体" w:hAnsi="宋体"/>
                <w:b/>
                <w:bCs/>
                <w:szCs w:val="21"/>
                <w:u w:val="single"/>
              </w:rPr>
              <w:t>2</w:t>
            </w:r>
            <w:r>
              <w:rPr>
                <w:rFonts w:hint="eastAsia" w:ascii="宋体" w:hAnsi="宋体"/>
                <w:b/>
                <w:bCs/>
                <w:szCs w:val="21"/>
                <w:u w:val="single"/>
              </w:rPr>
              <w:t>年1月</w:t>
            </w:r>
            <w:r>
              <w:rPr>
                <w:rFonts w:ascii="宋体" w:hAnsi="宋体"/>
                <w:b/>
                <w:bCs/>
                <w:szCs w:val="21"/>
                <w:u w:val="single"/>
              </w:rPr>
              <w:t>15</w:t>
            </w:r>
            <w:r>
              <w:rPr>
                <w:rFonts w:hint="eastAsia" w:ascii="宋体" w:hAnsi="宋体"/>
                <w:b/>
                <w:bCs/>
                <w:szCs w:val="21"/>
                <w:u w:val="single"/>
              </w:rPr>
              <w:t>日，结论：控制有效</w:t>
            </w:r>
          </w:p>
          <w:p>
            <w:pPr>
              <w:adjustRightInd w:val="0"/>
              <w:snapToGrid w:val="0"/>
              <w:spacing w:line="240" w:lineRule="atLeast"/>
              <w:ind w:firstLine="422" w:firstLineChars="200"/>
              <w:rPr>
                <w:rFonts w:ascii="宋体" w:hAnsi="宋体"/>
                <w:b/>
                <w:bCs/>
                <w:szCs w:val="21"/>
                <w:u w:val="single"/>
              </w:rPr>
            </w:pPr>
            <w:r>
              <w:rPr>
                <w:rFonts w:hint="eastAsia" w:ascii="宋体" w:hAnsi="宋体"/>
                <w:b/>
                <w:bCs/>
                <w:szCs w:val="21"/>
                <w:u w:val="single"/>
              </w:rPr>
              <w:t>《控制措施组合的确认报告》，202</w:t>
            </w:r>
            <w:r>
              <w:rPr>
                <w:rFonts w:ascii="宋体" w:hAnsi="宋体"/>
                <w:b/>
                <w:bCs/>
                <w:szCs w:val="21"/>
                <w:u w:val="single"/>
              </w:rPr>
              <w:t>2</w:t>
            </w:r>
            <w:r>
              <w:rPr>
                <w:rFonts w:hint="eastAsia" w:ascii="宋体" w:hAnsi="宋体"/>
                <w:b/>
                <w:bCs/>
                <w:szCs w:val="21"/>
                <w:u w:val="single"/>
              </w:rPr>
              <w:t>年1月20日，结论：控制有效</w:t>
            </w:r>
          </w:p>
          <w:p>
            <w:pPr>
              <w:adjustRightInd w:val="0"/>
              <w:snapToGrid w:val="0"/>
              <w:spacing w:line="240" w:lineRule="atLeast"/>
              <w:ind w:firstLine="422" w:firstLineChars="200"/>
              <w:rPr>
                <w:rFonts w:ascii="宋体" w:hAnsi="宋体"/>
                <w:b/>
                <w:bCs/>
                <w:szCs w:val="21"/>
                <w:u w:val="single"/>
              </w:rPr>
            </w:pPr>
            <w:r>
              <w:rPr>
                <w:rFonts w:hint="eastAsia" w:ascii="宋体" w:hAnsi="宋体"/>
                <w:b/>
                <w:bCs/>
                <w:szCs w:val="21"/>
                <w:u w:val="single"/>
              </w:rPr>
              <w:t>《HACCP体系验证报告》，202</w:t>
            </w:r>
            <w:r>
              <w:rPr>
                <w:rFonts w:ascii="宋体" w:hAnsi="宋体"/>
                <w:b/>
                <w:bCs/>
                <w:szCs w:val="21"/>
                <w:u w:val="single"/>
              </w:rPr>
              <w:t>2</w:t>
            </w:r>
            <w:r>
              <w:rPr>
                <w:rFonts w:hint="eastAsia" w:ascii="宋体" w:hAnsi="宋体"/>
                <w:b/>
                <w:bCs/>
                <w:szCs w:val="21"/>
                <w:u w:val="single"/>
              </w:rPr>
              <w:t>年</w:t>
            </w:r>
            <w:r>
              <w:rPr>
                <w:rFonts w:ascii="宋体" w:hAnsi="宋体"/>
                <w:b/>
                <w:bCs/>
                <w:szCs w:val="21"/>
                <w:u w:val="single"/>
              </w:rPr>
              <w:t>3</w:t>
            </w:r>
            <w:r>
              <w:rPr>
                <w:rFonts w:hint="eastAsia" w:ascii="宋体" w:hAnsi="宋体"/>
                <w:b/>
                <w:bCs/>
                <w:szCs w:val="21"/>
                <w:u w:val="single"/>
              </w:rPr>
              <w:t>月</w:t>
            </w:r>
            <w:r>
              <w:rPr>
                <w:rFonts w:ascii="宋体" w:hAnsi="宋体"/>
                <w:b/>
                <w:bCs/>
                <w:szCs w:val="21"/>
                <w:u w:val="single"/>
              </w:rPr>
              <w:t>3</w:t>
            </w:r>
            <w:r>
              <w:rPr>
                <w:rFonts w:hint="eastAsia" w:ascii="宋体" w:hAnsi="宋体"/>
                <w:b/>
                <w:bCs/>
                <w:szCs w:val="21"/>
                <w:u w:val="single"/>
              </w:rPr>
              <w:t>0日，结论：控制有效</w:t>
            </w:r>
          </w:p>
          <w:p>
            <w:pPr>
              <w:pStyle w:val="11"/>
              <w:ind w:left="0" w:firstLine="0" w:firstLineChars="0"/>
              <w:rPr>
                <w:color w:val="FF0000"/>
                <w:highlight w:val="yellow"/>
                <w:u w:val="single"/>
              </w:rPr>
            </w:pPr>
          </w:p>
          <w:tbl>
            <w:tblPr>
              <w:tblStyle w:val="13"/>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1580"/>
              <w:gridCol w:w="940"/>
              <w:gridCol w:w="2163"/>
              <w:gridCol w:w="1002"/>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日期</w:t>
                  </w:r>
                </w:p>
              </w:tc>
              <w:tc>
                <w:tcPr>
                  <w:tcW w:w="1580"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样品名称/批次</w:t>
                  </w:r>
                </w:p>
              </w:tc>
              <w:tc>
                <w:tcPr>
                  <w:tcW w:w="940"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送检方式</w:t>
                  </w:r>
                </w:p>
              </w:tc>
              <w:tc>
                <w:tcPr>
                  <w:tcW w:w="2163" w:type="dxa"/>
                </w:tcPr>
                <w:p>
                  <w:pPr>
                    <w:rPr>
                      <w:color w:val="000000" w:themeColor="text1"/>
                      <w:sz w:val="18"/>
                      <w:szCs w:val="18"/>
                      <w14:textFill>
                        <w14:solidFill>
                          <w14:schemeClr w14:val="tx1"/>
                        </w14:solidFill>
                      </w14:textFill>
                    </w:rPr>
                  </w:pPr>
                  <w:r>
                    <w:rPr>
                      <w:b/>
                      <w:bCs/>
                      <w:color w:val="000000" w:themeColor="text1"/>
                      <w:sz w:val="18"/>
                      <w:szCs w:val="18"/>
                      <w14:textFill>
                        <w14:solidFill>
                          <w14:schemeClr w14:val="tx1"/>
                        </w14:solidFill>
                      </w14:textFill>
                    </w:rPr>
                    <w:t>报告编号</w:t>
                  </w:r>
                </w:p>
              </w:tc>
              <w:tc>
                <w:tcPr>
                  <w:tcW w:w="1002"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报告日期</w:t>
                  </w:r>
                </w:p>
              </w:tc>
              <w:tc>
                <w:tcPr>
                  <w:tcW w:w="1585"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验证结论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50"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12</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21</w:t>
                  </w:r>
                  <w:r>
                    <w:rPr>
                      <w:rFonts w:hint="eastAsia"/>
                      <w:color w:val="000000" w:themeColor="text1"/>
                      <w:sz w:val="18"/>
                      <w:szCs w:val="18"/>
                      <w14:textFill>
                        <w14:solidFill>
                          <w14:schemeClr w14:val="tx1"/>
                        </w14:solidFill>
                      </w14:textFill>
                    </w:rPr>
                    <w:t xml:space="preserve"> </w:t>
                  </w:r>
                </w:p>
              </w:tc>
              <w:tc>
                <w:tcPr>
                  <w:tcW w:w="1580"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辣椒段</w:t>
                  </w:r>
                </w:p>
              </w:tc>
              <w:tc>
                <w:tcPr>
                  <w:tcW w:w="940"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A8"/>
                  </w:r>
                  <w:r>
                    <w:rPr>
                      <w:color w:val="000000" w:themeColor="text1"/>
                      <w:sz w:val="18"/>
                      <w:szCs w:val="18"/>
                      <w14:textFill>
                        <w14:solidFill>
                          <w14:schemeClr w14:val="tx1"/>
                        </w14:solidFill>
                      </w14:textFill>
                    </w:rPr>
                    <w:t>抽检</w:t>
                  </w:r>
                </w:p>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FE"/>
                  </w:r>
                  <w:r>
                    <w:rPr>
                      <w:color w:val="000000" w:themeColor="text1"/>
                      <w:sz w:val="18"/>
                      <w:szCs w:val="18"/>
                      <w14:textFill>
                        <w14:solidFill>
                          <w14:schemeClr w14:val="tx1"/>
                        </w14:solidFill>
                      </w14:textFill>
                    </w:rPr>
                    <w:t>送检</w:t>
                  </w:r>
                </w:p>
              </w:tc>
              <w:tc>
                <w:tcPr>
                  <w:tcW w:w="2163"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YA132112WQ00800</w:t>
                  </w:r>
                </w:p>
              </w:tc>
              <w:tc>
                <w:tcPr>
                  <w:tcW w:w="1002"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12</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21</w:t>
                  </w:r>
                  <w:r>
                    <w:rPr>
                      <w:rFonts w:hint="eastAsia"/>
                      <w:color w:val="000000" w:themeColor="text1"/>
                      <w:sz w:val="18"/>
                      <w:szCs w:val="18"/>
                      <w14:textFill>
                        <w14:solidFill>
                          <w14:schemeClr w14:val="tx1"/>
                        </w14:solidFill>
                      </w14:textFill>
                    </w:rPr>
                    <w:t xml:space="preserve"> </w:t>
                  </w:r>
                </w:p>
              </w:tc>
              <w:tc>
                <w:tcPr>
                  <w:tcW w:w="1585"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FE"/>
                  </w:r>
                  <w:r>
                    <w:rPr>
                      <w:color w:val="000000" w:themeColor="text1"/>
                      <w:sz w:val="18"/>
                      <w:szCs w:val="18"/>
                      <w14:textFill>
                        <w14:solidFill>
                          <w14:schemeClr w14:val="tx1"/>
                        </w14:solidFill>
                      </w14:textFill>
                    </w:rPr>
                    <w:t>合格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rPr>
                      <w:color w:val="000000" w:themeColor="text1"/>
                      <w:sz w:val="18"/>
                      <w:szCs w:val="18"/>
                      <w14:textFill>
                        <w14:solidFill>
                          <w14:schemeClr w14:val="tx1"/>
                        </w14:solidFill>
                      </w14:textFill>
                    </w:rPr>
                  </w:pPr>
                  <w:r>
                    <w:rPr>
                      <w:rFonts w:hint="eastAsia"/>
                      <w:color w:val="000000" w:themeColor="text1"/>
                      <w14:textFill>
                        <w14:solidFill>
                          <w14:schemeClr w14:val="tx1"/>
                        </w14:solidFill>
                      </w14:textFill>
                    </w:rPr>
                    <w:t>20</w:t>
                  </w:r>
                  <w:r>
                    <w:rPr>
                      <w:color w:val="000000" w:themeColor="text1"/>
                      <w14:textFill>
                        <w14:solidFill>
                          <w14:schemeClr w14:val="tx1"/>
                        </w14:solidFill>
                      </w14:textFill>
                    </w:rPr>
                    <w:t>22</w:t>
                  </w:r>
                  <w:r>
                    <w:rPr>
                      <w:rFonts w:hint="eastAsia"/>
                      <w:color w:val="000000" w:themeColor="text1"/>
                      <w14:textFill>
                        <w14:solidFill>
                          <w14:schemeClr w14:val="tx1"/>
                        </w14:solidFill>
                      </w14:textFill>
                    </w:rPr>
                    <w:t>-04-</w:t>
                  </w:r>
                  <w:r>
                    <w:rPr>
                      <w:color w:val="000000" w:themeColor="text1"/>
                      <w14:textFill>
                        <w14:solidFill>
                          <w14:schemeClr w14:val="tx1"/>
                        </w14:solidFill>
                      </w14:textFill>
                    </w:rPr>
                    <w:t>27</w:t>
                  </w:r>
                  <w:r>
                    <w:rPr>
                      <w:rFonts w:hint="eastAsia"/>
                      <w:color w:val="000000" w:themeColor="text1"/>
                      <w14:textFill>
                        <w14:solidFill>
                          <w14:schemeClr w14:val="tx1"/>
                        </w14:solidFill>
                      </w14:textFill>
                    </w:rPr>
                    <w:t xml:space="preserve"> </w:t>
                  </w:r>
                </w:p>
              </w:tc>
              <w:tc>
                <w:tcPr>
                  <w:tcW w:w="1580"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八角</w:t>
                  </w:r>
                </w:p>
              </w:tc>
              <w:tc>
                <w:tcPr>
                  <w:tcW w:w="940"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A8"/>
                  </w:r>
                  <w:r>
                    <w:rPr>
                      <w:color w:val="000000" w:themeColor="text1"/>
                      <w:sz w:val="18"/>
                      <w:szCs w:val="18"/>
                      <w14:textFill>
                        <w14:solidFill>
                          <w14:schemeClr w14:val="tx1"/>
                        </w14:solidFill>
                      </w14:textFill>
                    </w:rPr>
                    <w:t>抽检</w:t>
                  </w:r>
                </w:p>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FE"/>
                  </w:r>
                  <w:r>
                    <w:rPr>
                      <w:color w:val="000000" w:themeColor="text1"/>
                      <w:sz w:val="18"/>
                      <w:szCs w:val="18"/>
                      <w14:textFill>
                        <w14:solidFill>
                          <w14:schemeClr w14:val="tx1"/>
                        </w14:solidFill>
                      </w14:textFill>
                    </w:rPr>
                    <w:t>送检</w:t>
                  </w:r>
                </w:p>
              </w:tc>
              <w:tc>
                <w:tcPr>
                  <w:tcW w:w="2163" w:type="dxa"/>
                </w:tcPr>
                <w:p>
                  <w:pPr>
                    <w:pStyle w:val="11"/>
                    <w:ind w:left="0" w:firstLine="0" w:firstLineChars="0"/>
                    <w:rPr>
                      <w:color w:val="000000" w:themeColor="text1"/>
                      <w:sz w:val="18"/>
                      <w:szCs w:val="18"/>
                      <w14:textFill>
                        <w14:solidFill>
                          <w14:schemeClr w14:val="tx1"/>
                        </w14:solidFill>
                      </w14:textFill>
                    </w:rPr>
                  </w:pPr>
                  <w:r>
                    <w:rPr>
                      <w:color w:val="000000" w:themeColor="text1"/>
                      <w14:textFill>
                        <w14:solidFill>
                          <w14:schemeClr w14:val="tx1"/>
                        </w14:solidFill>
                      </w14:textFill>
                    </w:rPr>
                    <w:t>YA132204WQ01026</w:t>
                  </w:r>
                </w:p>
              </w:tc>
              <w:tc>
                <w:tcPr>
                  <w:tcW w:w="1002" w:type="dxa"/>
                </w:tcPr>
                <w:p>
                  <w:pPr>
                    <w:rPr>
                      <w:color w:val="000000" w:themeColor="text1"/>
                      <w:sz w:val="18"/>
                      <w:szCs w:val="18"/>
                      <w14:textFill>
                        <w14:solidFill>
                          <w14:schemeClr w14:val="tx1"/>
                        </w14:solidFill>
                      </w14:textFill>
                    </w:rPr>
                  </w:pPr>
                  <w:r>
                    <w:rPr>
                      <w:rFonts w:hint="eastAsia"/>
                      <w:color w:val="000000" w:themeColor="text1"/>
                      <w14:textFill>
                        <w14:solidFill>
                          <w14:schemeClr w14:val="tx1"/>
                        </w14:solidFill>
                      </w14:textFill>
                    </w:rPr>
                    <w:t>20</w:t>
                  </w:r>
                  <w:r>
                    <w:rPr>
                      <w:color w:val="000000" w:themeColor="text1"/>
                      <w14:textFill>
                        <w14:solidFill>
                          <w14:schemeClr w14:val="tx1"/>
                        </w14:solidFill>
                      </w14:textFill>
                    </w:rPr>
                    <w:t>22</w:t>
                  </w:r>
                  <w:r>
                    <w:rPr>
                      <w:rFonts w:hint="eastAsia"/>
                      <w:color w:val="000000" w:themeColor="text1"/>
                      <w14:textFill>
                        <w14:solidFill>
                          <w14:schemeClr w14:val="tx1"/>
                        </w14:solidFill>
                      </w14:textFill>
                    </w:rPr>
                    <w:t>-04-</w:t>
                  </w:r>
                  <w:r>
                    <w:rPr>
                      <w:color w:val="000000" w:themeColor="text1"/>
                      <w14:textFill>
                        <w14:solidFill>
                          <w14:schemeClr w14:val="tx1"/>
                        </w14:solidFill>
                      </w14:textFill>
                    </w:rPr>
                    <w:t>27</w:t>
                  </w:r>
                  <w:r>
                    <w:rPr>
                      <w:rFonts w:hint="eastAsia"/>
                      <w:color w:val="000000" w:themeColor="text1"/>
                      <w14:textFill>
                        <w14:solidFill>
                          <w14:schemeClr w14:val="tx1"/>
                        </w14:solidFill>
                      </w14:textFill>
                    </w:rPr>
                    <w:t xml:space="preserve"> </w:t>
                  </w:r>
                </w:p>
              </w:tc>
              <w:tc>
                <w:tcPr>
                  <w:tcW w:w="1585"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FE"/>
                  </w:r>
                  <w:r>
                    <w:rPr>
                      <w:color w:val="000000" w:themeColor="text1"/>
                      <w:sz w:val="18"/>
                      <w:szCs w:val="18"/>
                      <w14:textFill>
                        <w14:solidFill>
                          <w14:schemeClr w14:val="tx1"/>
                        </w14:solidFill>
                      </w14:textFill>
                    </w:rPr>
                    <w:t>合格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rPr>
                      <w:color w:val="000000" w:themeColor="text1"/>
                      <w:sz w:val="18"/>
                      <w:szCs w:val="18"/>
                      <w14:textFill>
                        <w14:solidFill>
                          <w14:schemeClr w14:val="tx1"/>
                        </w14:solidFill>
                      </w14:textFill>
                    </w:rPr>
                  </w:pPr>
                  <w:r>
                    <w:rPr>
                      <w:rFonts w:hint="eastAsia"/>
                      <w:color w:val="000000" w:themeColor="text1"/>
                      <w14:textFill>
                        <w14:solidFill>
                          <w14:schemeClr w14:val="tx1"/>
                        </w14:solidFill>
                      </w14:textFill>
                    </w:rPr>
                    <w:t>20</w:t>
                  </w:r>
                  <w:r>
                    <w:rPr>
                      <w:color w:val="000000" w:themeColor="text1"/>
                      <w14:textFill>
                        <w14:solidFill>
                          <w14:schemeClr w14:val="tx1"/>
                        </w14:solidFill>
                      </w14:textFill>
                    </w:rPr>
                    <w:t>22</w:t>
                  </w:r>
                  <w:r>
                    <w:rPr>
                      <w:rFonts w:hint="eastAsia"/>
                      <w:color w:val="000000" w:themeColor="text1"/>
                      <w14:textFill>
                        <w14:solidFill>
                          <w14:schemeClr w14:val="tx1"/>
                        </w14:solidFill>
                      </w14:textFill>
                    </w:rPr>
                    <w:t>-04-</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 </w:t>
                  </w:r>
                </w:p>
              </w:tc>
              <w:tc>
                <w:tcPr>
                  <w:tcW w:w="1580"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辣椒粉</w:t>
                  </w:r>
                </w:p>
              </w:tc>
              <w:tc>
                <w:tcPr>
                  <w:tcW w:w="940"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A8"/>
                  </w:r>
                  <w:r>
                    <w:rPr>
                      <w:color w:val="000000" w:themeColor="text1"/>
                      <w:sz w:val="18"/>
                      <w:szCs w:val="18"/>
                      <w14:textFill>
                        <w14:solidFill>
                          <w14:schemeClr w14:val="tx1"/>
                        </w14:solidFill>
                      </w14:textFill>
                    </w:rPr>
                    <w:t>抽检</w:t>
                  </w:r>
                </w:p>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FE"/>
                  </w:r>
                  <w:r>
                    <w:rPr>
                      <w:color w:val="000000" w:themeColor="text1"/>
                      <w:sz w:val="18"/>
                      <w:szCs w:val="18"/>
                      <w14:textFill>
                        <w14:solidFill>
                          <w14:schemeClr w14:val="tx1"/>
                        </w14:solidFill>
                      </w14:textFill>
                    </w:rPr>
                    <w:t>送检</w:t>
                  </w:r>
                </w:p>
              </w:tc>
              <w:tc>
                <w:tcPr>
                  <w:tcW w:w="2163" w:type="dxa"/>
                </w:tcPr>
                <w:p>
                  <w:pPr>
                    <w:pStyle w:val="11"/>
                    <w:ind w:left="0" w:firstLine="0" w:firstLineChars="0"/>
                    <w:rPr>
                      <w:color w:val="000000" w:themeColor="text1"/>
                      <w:sz w:val="18"/>
                      <w:szCs w:val="18"/>
                      <w14:textFill>
                        <w14:solidFill>
                          <w14:schemeClr w14:val="tx1"/>
                        </w14:solidFill>
                      </w14:textFill>
                    </w:rPr>
                  </w:pPr>
                  <w:r>
                    <w:t>YA132203WQ0227</w:t>
                  </w:r>
                </w:p>
              </w:tc>
              <w:tc>
                <w:tcPr>
                  <w:tcW w:w="1002" w:type="dxa"/>
                </w:tcPr>
                <w:p>
                  <w:pPr>
                    <w:rPr>
                      <w:color w:val="000000" w:themeColor="text1"/>
                      <w:sz w:val="18"/>
                      <w:szCs w:val="18"/>
                      <w14:textFill>
                        <w14:solidFill>
                          <w14:schemeClr w14:val="tx1"/>
                        </w14:solidFill>
                      </w14:textFill>
                    </w:rPr>
                  </w:pPr>
                  <w:r>
                    <w:rPr>
                      <w:rFonts w:hint="eastAsia"/>
                      <w:color w:val="000000" w:themeColor="text1"/>
                      <w14:textFill>
                        <w14:solidFill>
                          <w14:schemeClr w14:val="tx1"/>
                        </w14:solidFill>
                      </w14:textFill>
                    </w:rPr>
                    <w:t>20</w:t>
                  </w:r>
                  <w:r>
                    <w:rPr>
                      <w:color w:val="000000" w:themeColor="text1"/>
                      <w14:textFill>
                        <w14:solidFill>
                          <w14:schemeClr w14:val="tx1"/>
                        </w14:solidFill>
                      </w14:textFill>
                    </w:rPr>
                    <w:t>22</w:t>
                  </w:r>
                  <w:r>
                    <w:rPr>
                      <w:rFonts w:hint="eastAsia"/>
                      <w:color w:val="000000" w:themeColor="text1"/>
                      <w14:textFill>
                        <w14:solidFill>
                          <w14:schemeClr w14:val="tx1"/>
                        </w14:solidFill>
                      </w14:textFill>
                    </w:rPr>
                    <w:t>-04-</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 </w:t>
                  </w:r>
                </w:p>
              </w:tc>
              <w:tc>
                <w:tcPr>
                  <w:tcW w:w="1585"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FE"/>
                  </w:r>
                  <w:r>
                    <w:rPr>
                      <w:color w:val="000000" w:themeColor="text1"/>
                      <w:sz w:val="18"/>
                      <w:szCs w:val="18"/>
                      <w14:textFill>
                        <w14:solidFill>
                          <w14:schemeClr w14:val="tx1"/>
                        </w14:solidFill>
                      </w14:textFill>
                    </w:rPr>
                    <w:t>合格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022.7.11</w:t>
                  </w:r>
                </w:p>
              </w:tc>
              <w:tc>
                <w:tcPr>
                  <w:tcW w:w="1580" w:type="dxa"/>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生产用水</w:t>
                  </w:r>
                </w:p>
              </w:tc>
              <w:tc>
                <w:tcPr>
                  <w:tcW w:w="940"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A8"/>
                  </w:r>
                  <w:r>
                    <w:rPr>
                      <w:color w:val="000000" w:themeColor="text1"/>
                      <w:sz w:val="18"/>
                      <w:szCs w:val="18"/>
                      <w14:textFill>
                        <w14:solidFill>
                          <w14:schemeClr w14:val="tx1"/>
                        </w14:solidFill>
                      </w14:textFill>
                    </w:rPr>
                    <w:t>抽检</w:t>
                  </w:r>
                </w:p>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FE"/>
                  </w:r>
                  <w:r>
                    <w:rPr>
                      <w:color w:val="000000" w:themeColor="text1"/>
                      <w:sz w:val="18"/>
                      <w:szCs w:val="18"/>
                      <w14:textFill>
                        <w14:solidFill>
                          <w14:schemeClr w14:val="tx1"/>
                        </w14:solidFill>
                      </w14:textFill>
                    </w:rPr>
                    <w:t>送检</w:t>
                  </w:r>
                </w:p>
              </w:tc>
              <w:tc>
                <w:tcPr>
                  <w:tcW w:w="2163" w:type="dxa"/>
                </w:tcPr>
                <w:p>
                  <w:pPr>
                    <w:pStyle w:val="11"/>
                    <w:ind w:left="0" w:firstLine="0" w:firstLineChars="0"/>
                    <w:rPr>
                      <w:color w:val="000000" w:themeColor="text1"/>
                      <w:sz w:val="18"/>
                      <w:szCs w:val="18"/>
                      <w14:textFill>
                        <w14:solidFill>
                          <w14:schemeClr w14:val="tx1"/>
                        </w14:solidFill>
                      </w14:textFill>
                    </w:rPr>
                  </w:pPr>
                  <w:r>
                    <w:t>GKHJ22070015SZ001</w:t>
                  </w:r>
                </w:p>
              </w:tc>
              <w:tc>
                <w:tcPr>
                  <w:tcW w:w="1002"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022.7.11</w:t>
                  </w:r>
                </w:p>
              </w:tc>
              <w:tc>
                <w:tcPr>
                  <w:tcW w:w="1585" w:type="dxa"/>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sym w:font="Wingdings" w:char="00FE"/>
                  </w:r>
                  <w:r>
                    <w:rPr>
                      <w:color w:val="000000" w:themeColor="text1"/>
                      <w:sz w:val="18"/>
                      <w:szCs w:val="18"/>
                      <w14:textFill>
                        <w14:solidFill>
                          <w14:schemeClr w14:val="tx1"/>
                        </w14:solidFill>
                      </w14:textFill>
                    </w:rPr>
                    <w:t>合格 □不合格</w:t>
                  </w:r>
                </w:p>
              </w:tc>
            </w:tr>
          </w:tbl>
          <w:p/>
          <w:p>
            <w:pPr>
              <w:pStyle w:val="2"/>
            </w:pPr>
          </w:p>
          <w:p>
            <w:pPr>
              <w:rPr>
                <w:color w:val="000000" w:themeColor="text1"/>
                <w14:textFill>
                  <w14:solidFill>
                    <w14:schemeClr w14:val="tx1"/>
                  </w14:solidFill>
                </w14:textFill>
              </w:rPr>
            </w:pPr>
            <w:r>
              <w:t>当</w:t>
            </w:r>
            <w:r>
              <w:rPr>
                <w:color w:val="000000" w:themeColor="text1"/>
                <w14:textFill>
                  <w14:solidFill>
                    <w14:schemeClr w14:val="tx1"/>
                  </w14:solidFill>
                </w14:textFill>
              </w:rPr>
              <w:t>确认结果表明上述不能被证实时，组织应对控制措施和（或） 其组合进行修改和重新评估。</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4"/>
              <w:gridCol w:w="4200"/>
              <w:gridCol w:w="2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pPr>
                    <w:rPr>
                      <w:color w:val="000000" w:themeColor="text1"/>
                      <w14:textFill>
                        <w14:solidFill>
                          <w14:schemeClr w14:val="tx1"/>
                        </w14:solidFill>
                      </w14:textFill>
                    </w:rPr>
                  </w:pPr>
                  <w:r>
                    <w:rPr>
                      <w:color w:val="000000" w:themeColor="text1"/>
                      <w14:textFill>
                        <w14:solidFill>
                          <w14:schemeClr w14:val="tx1"/>
                        </w14:solidFill>
                      </w14:textFill>
                    </w:rPr>
                    <w:t>修改项目</w:t>
                  </w:r>
                </w:p>
              </w:tc>
              <w:tc>
                <w:tcPr>
                  <w:tcW w:w="4200" w:type="dxa"/>
                </w:tcPr>
                <w:p>
                  <w:pPr>
                    <w:rPr>
                      <w:color w:val="000000" w:themeColor="text1"/>
                      <w14:textFill>
                        <w14:solidFill>
                          <w14:schemeClr w14:val="tx1"/>
                        </w14:solidFill>
                      </w14:textFill>
                    </w:rPr>
                  </w:pPr>
                  <w:r>
                    <w:rPr>
                      <w:color w:val="000000" w:themeColor="text1"/>
                      <w14:textFill>
                        <w14:solidFill>
                          <w14:schemeClr w14:val="tx1"/>
                        </w14:solidFill>
                      </w14:textFill>
                    </w:rPr>
                    <w:t>具体修改内容</w:t>
                  </w:r>
                </w:p>
              </w:tc>
              <w:tc>
                <w:tcPr>
                  <w:tcW w:w="2589" w:type="dxa"/>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pPr>
                    <w:rPr>
                      <w:color w:val="000000" w:themeColor="text1"/>
                      <w14:textFill>
                        <w14:solidFill>
                          <w14:schemeClr w14:val="tx1"/>
                        </w14:solidFill>
                      </w14:textFill>
                    </w:rPr>
                  </w:pPr>
                  <w:r>
                    <w:rPr>
                      <w:color w:val="000000" w:themeColor="text1"/>
                      <w14:textFill>
                        <w14:solidFill>
                          <w14:schemeClr w14:val="tx1"/>
                        </w14:solidFill>
                      </w14:textFill>
                    </w:rPr>
                    <w:t>控制措施（过程参数、 严格度和/或其组合）</w:t>
                  </w:r>
                </w:p>
              </w:tc>
              <w:tc>
                <w:tcPr>
                  <w:tcW w:w="4200"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2589" w:type="dxa"/>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pPr>
                    <w:rPr>
                      <w:color w:val="000000" w:themeColor="text1"/>
                      <w14:textFill>
                        <w14:solidFill>
                          <w14:schemeClr w14:val="tx1"/>
                        </w14:solidFill>
                      </w14:textFill>
                    </w:rPr>
                  </w:pPr>
                  <w:r>
                    <w:rPr>
                      <w:color w:val="000000" w:themeColor="text1"/>
                      <w14:textFill>
                        <w14:solidFill>
                          <w14:schemeClr w14:val="tx1"/>
                        </w14:solidFill>
                      </w14:textFill>
                    </w:rPr>
                    <w:t>原料</w:t>
                  </w:r>
                </w:p>
              </w:tc>
              <w:tc>
                <w:tcPr>
                  <w:tcW w:w="4200"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2589" w:type="dxa"/>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pPr>
                    <w:rPr>
                      <w:color w:val="000000" w:themeColor="text1"/>
                      <w14:textFill>
                        <w14:solidFill>
                          <w14:schemeClr w14:val="tx1"/>
                        </w14:solidFill>
                      </w14:textFill>
                    </w:rPr>
                  </w:pPr>
                  <w:r>
                    <w:rPr>
                      <w:color w:val="000000" w:themeColor="text1"/>
                      <w14:textFill>
                        <w14:solidFill>
                          <w14:schemeClr w14:val="tx1"/>
                        </w14:solidFill>
                      </w14:textFill>
                    </w:rPr>
                    <w:t>工艺技术</w:t>
                  </w:r>
                </w:p>
              </w:tc>
              <w:tc>
                <w:tcPr>
                  <w:tcW w:w="4200"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2589" w:type="dxa"/>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pPr>
                    <w:rPr>
                      <w:color w:val="000000" w:themeColor="text1"/>
                      <w14:textFill>
                        <w14:solidFill>
                          <w14:schemeClr w14:val="tx1"/>
                        </w14:solidFill>
                      </w14:textFill>
                    </w:rPr>
                  </w:pPr>
                  <w:r>
                    <w:rPr>
                      <w:color w:val="000000" w:themeColor="text1"/>
                      <w14:textFill>
                        <w14:solidFill>
                          <w14:schemeClr w14:val="tx1"/>
                        </w14:solidFill>
                      </w14:textFill>
                    </w:rPr>
                    <w:t>成品特性</w:t>
                  </w:r>
                </w:p>
              </w:tc>
              <w:tc>
                <w:tcPr>
                  <w:tcW w:w="4200"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2589" w:type="dxa"/>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pPr>
                    <w:rPr>
                      <w:color w:val="000000" w:themeColor="text1"/>
                      <w14:textFill>
                        <w14:solidFill>
                          <w14:schemeClr w14:val="tx1"/>
                        </w14:solidFill>
                      </w14:textFill>
                    </w:rPr>
                  </w:pPr>
                  <w:r>
                    <w:rPr>
                      <w:color w:val="000000" w:themeColor="text1"/>
                      <w14:textFill>
                        <w14:solidFill>
                          <w14:schemeClr w14:val="tx1"/>
                        </w14:solidFill>
                      </w14:textFill>
                    </w:rPr>
                    <w:t>物流方式</w:t>
                  </w:r>
                </w:p>
              </w:tc>
              <w:tc>
                <w:tcPr>
                  <w:tcW w:w="4200"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2589" w:type="dxa"/>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tcPr>
                <w:p>
                  <w:pPr>
                    <w:rPr>
                      <w:color w:val="000000" w:themeColor="text1"/>
                      <w14:textFill>
                        <w14:solidFill>
                          <w14:schemeClr w14:val="tx1"/>
                        </w14:solidFill>
                      </w14:textFill>
                    </w:rPr>
                  </w:pPr>
                  <w:r>
                    <w:rPr>
                      <w:color w:val="000000" w:themeColor="text1"/>
                      <w14:textFill>
                        <w14:solidFill>
                          <w14:schemeClr w14:val="tx1"/>
                        </w14:solidFill>
                      </w14:textFill>
                    </w:rPr>
                    <w:t>成品预期用途</w:t>
                  </w:r>
                </w:p>
              </w:tc>
              <w:tc>
                <w:tcPr>
                  <w:tcW w:w="4200"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2589" w:type="dxa"/>
                </w:tcPr>
                <w:p>
                  <w:pPr>
                    <w:rPr>
                      <w:color w:val="000000" w:themeColor="text1"/>
                      <w14:textFill>
                        <w14:solidFill>
                          <w14:schemeClr w14:val="tx1"/>
                        </w14:solidFill>
                      </w14:textFill>
                    </w:rPr>
                  </w:pPr>
                </w:p>
              </w:tc>
            </w:tr>
          </w:tbl>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86" w:hRule="atLeast"/>
        </w:trPr>
        <w:tc>
          <w:tcPr>
            <w:tcW w:w="2174" w:type="dxa"/>
            <w:vMerge w:val="restart"/>
            <w:shd w:val="clear" w:color="auto" w:fill="auto"/>
          </w:tcPr>
          <w:p>
            <w:pPr>
              <w:jc w:val="left"/>
            </w:pPr>
            <w:r>
              <w:t>危害控制计划 (HACCP/OPRP 计划)</w:t>
            </w:r>
            <w:r>
              <w:br w:type="textWrapping"/>
            </w:r>
          </w:p>
        </w:tc>
        <w:tc>
          <w:tcPr>
            <w:tcW w:w="936" w:type="dxa"/>
            <w:gridSpan w:val="2"/>
            <w:vMerge w:val="restart"/>
            <w:shd w:val="clear" w:color="auto" w:fill="auto"/>
          </w:tcPr>
          <w:p>
            <w:r>
              <w:t>F8.5.4</w:t>
            </w:r>
          </w:p>
          <w:p/>
        </w:tc>
        <w:tc>
          <w:tcPr>
            <w:tcW w:w="745" w:type="dxa"/>
            <w:shd w:val="clear" w:color="auto" w:fill="auto"/>
          </w:tcPr>
          <w:p>
            <w:r>
              <w:t>文件名称</w:t>
            </w:r>
          </w:p>
        </w:tc>
        <w:tc>
          <w:tcPr>
            <w:tcW w:w="9523" w:type="dxa"/>
            <w:shd w:val="clear" w:color="auto" w:fill="auto"/>
          </w:tcPr>
          <w:p>
            <w:r>
              <w:t>如：</w:t>
            </w:r>
            <w:r>
              <w:rPr/>
              <w:sym w:font="Wingdings" w:char="00FE"/>
            </w:r>
            <w:r>
              <w:t>《</w:t>
            </w:r>
            <w:r>
              <w:rPr>
                <w:rFonts w:hint="eastAsia"/>
              </w:rPr>
              <w:t>危害控制</w:t>
            </w:r>
            <w:r>
              <w:t>计划》</w:t>
            </w:r>
          </w:p>
        </w:tc>
        <w:tc>
          <w:tcPr>
            <w:tcW w:w="1290" w:type="dxa"/>
            <w:vMerge w:val="restart"/>
            <w:shd w:val="clear" w:color="auto" w:fill="auto"/>
          </w:tcPr>
          <w:p>
            <w:r>
              <w:rPr/>
              <w:sym w:font="Wingdings" w:char="00FE"/>
            </w:r>
            <w:r>
              <w:t>符合</w:t>
            </w:r>
          </w:p>
          <w:p>
            <w:r>
              <w:rPr/>
              <w:sym w:font="Wingdings" w:char="00A8"/>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2074"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t>运行证据</w:t>
            </w:r>
          </w:p>
        </w:tc>
        <w:tc>
          <w:tcPr>
            <w:tcW w:w="9523" w:type="dxa"/>
            <w:shd w:val="clear" w:color="auto" w:fill="auto"/>
          </w:tcPr>
          <w:p>
            <w:pPr>
              <w:spacing w:line="276" w:lineRule="auto"/>
              <w:rPr>
                <w:rFonts w:asciiTheme="minorEastAsia" w:hAnsiTheme="minorEastAsia" w:eastAsiaTheme="minorEastAsia"/>
                <w:szCs w:val="21"/>
              </w:rPr>
            </w:pPr>
            <w:r>
              <w:rPr>
                <w:rFonts w:hint="eastAsia" w:asciiTheme="minorEastAsia" w:hAnsiTheme="minorEastAsia" w:eastAsiaTheme="minorEastAsia"/>
                <w:szCs w:val="21"/>
              </w:rPr>
              <w:t>香辛料、香辛料粉生产过程涉及的OPRP点如下（无CCP）：</w:t>
            </w:r>
          </w:p>
          <w:tbl>
            <w:tblPr>
              <w:tblStyle w:val="12"/>
              <w:tblpPr w:leftFromText="180" w:rightFromText="180" w:vertAnchor="text" w:horzAnchor="page" w:tblpX="229" w:tblpY="621"/>
              <w:tblOverlap w:val="never"/>
              <w:tblW w:w="88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930"/>
              <w:gridCol w:w="1115"/>
              <w:gridCol w:w="2370"/>
              <w:gridCol w:w="2010"/>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1725" w:type="dxa"/>
                  <w:gridSpan w:val="2"/>
                  <w:vMerge w:val="restart"/>
                  <w:vAlign w:val="center"/>
                </w:tcPr>
                <w:p>
                  <w:pPr>
                    <w:spacing w:line="320" w:lineRule="exact"/>
                    <w:jc w:val="center"/>
                    <w:rPr>
                      <w:rFonts w:ascii="宋体" w:hAnsi="宋体"/>
                      <w:szCs w:val="21"/>
                    </w:rPr>
                  </w:pPr>
                  <w:r>
                    <w:rPr>
                      <w:rFonts w:hint="eastAsia" w:ascii="宋体" w:hAnsi="宋体"/>
                      <w:szCs w:val="21"/>
                    </w:rPr>
                    <w:t>危害</w:t>
                  </w:r>
                  <w:r>
                    <w:rPr>
                      <w:rFonts w:ascii="宋体" w:hAnsi="宋体"/>
                      <w:szCs w:val="21"/>
                    </w:rPr>
                    <w:t>控制点（CCP/OPRP）</w:t>
                  </w:r>
                </w:p>
              </w:tc>
              <w:tc>
                <w:tcPr>
                  <w:tcW w:w="1115" w:type="dxa"/>
                  <w:vMerge w:val="restart"/>
                  <w:vAlign w:val="center"/>
                </w:tcPr>
                <w:p>
                  <w:pPr>
                    <w:spacing w:line="320" w:lineRule="exact"/>
                    <w:jc w:val="center"/>
                    <w:rPr>
                      <w:rFonts w:ascii="宋体" w:hAnsi="宋体"/>
                      <w:szCs w:val="21"/>
                    </w:rPr>
                  </w:pPr>
                  <w:r>
                    <w:rPr>
                      <w:rFonts w:ascii="宋体" w:hAnsi="宋体"/>
                      <w:szCs w:val="21"/>
                    </w:rPr>
                    <w:t>显著危害</w:t>
                  </w:r>
                </w:p>
              </w:tc>
              <w:tc>
                <w:tcPr>
                  <w:tcW w:w="2370" w:type="dxa"/>
                  <w:vMerge w:val="restart"/>
                  <w:vAlign w:val="center"/>
                </w:tcPr>
                <w:p>
                  <w:pPr>
                    <w:spacing w:line="320" w:lineRule="exact"/>
                    <w:jc w:val="center"/>
                    <w:rPr>
                      <w:rFonts w:ascii="宋体" w:hAnsi="宋体"/>
                      <w:szCs w:val="21"/>
                    </w:rPr>
                  </w:pPr>
                  <w:r>
                    <w:rPr>
                      <w:rFonts w:ascii="宋体" w:hAnsi="宋体"/>
                      <w:szCs w:val="21"/>
                    </w:rPr>
                    <w:t>每个预防措施的</w:t>
                  </w:r>
                </w:p>
                <w:p>
                  <w:pPr>
                    <w:spacing w:line="320" w:lineRule="exact"/>
                    <w:jc w:val="center"/>
                    <w:rPr>
                      <w:rFonts w:ascii="宋体" w:hAnsi="宋体"/>
                      <w:szCs w:val="21"/>
                    </w:rPr>
                  </w:pPr>
                  <w:r>
                    <w:rPr>
                      <w:rFonts w:ascii="宋体" w:hAnsi="宋体"/>
                      <w:szCs w:val="21"/>
                    </w:rPr>
                    <w:t>关键限值</w:t>
                  </w:r>
                  <w:r>
                    <w:rPr>
                      <w:rFonts w:hint="eastAsia" w:ascii="宋体" w:hAnsi="宋体"/>
                      <w:szCs w:val="21"/>
                    </w:rPr>
                    <w:t>/行动准则</w:t>
                  </w:r>
                </w:p>
              </w:tc>
              <w:tc>
                <w:tcPr>
                  <w:tcW w:w="2010" w:type="dxa"/>
                  <w:vMerge w:val="restart"/>
                  <w:vAlign w:val="center"/>
                </w:tcPr>
                <w:p>
                  <w:pPr>
                    <w:spacing w:line="320" w:lineRule="exact"/>
                    <w:jc w:val="center"/>
                    <w:rPr>
                      <w:rFonts w:ascii="宋体" w:hAnsi="宋体"/>
                      <w:szCs w:val="21"/>
                    </w:rPr>
                  </w:pPr>
                  <w:r>
                    <w:rPr>
                      <w:rFonts w:hint="eastAsia" w:ascii="宋体" w:hAnsi="宋体"/>
                      <w:szCs w:val="21"/>
                    </w:rPr>
                    <w:t>监控方法</w:t>
                  </w:r>
                </w:p>
              </w:tc>
              <w:tc>
                <w:tcPr>
                  <w:tcW w:w="1597" w:type="dxa"/>
                  <w:vMerge w:val="restart"/>
                  <w:vAlign w:val="center"/>
                </w:tcPr>
                <w:p>
                  <w:pPr>
                    <w:spacing w:line="320" w:lineRule="exact"/>
                    <w:jc w:val="center"/>
                    <w:rPr>
                      <w:rFonts w:ascii="宋体" w:hAnsi="宋体"/>
                      <w:szCs w:val="21"/>
                    </w:rPr>
                  </w:pPr>
                  <w:r>
                    <w:rPr>
                      <w:rFonts w:ascii="宋体" w:hAnsi="宋体"/>
                      <w:szCs w:val="21"/>
                    </w:rPr>
                    <w:t>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rPr>
              <w:tc>
                <w:tcPr>
                  <w:tcW w:w="1725" w:type="dxa"/>
                  <w:gridSpan w:val="2"/>
                  <w:vMerge w:val="continue"/>
                  <w:vAlign w:val="center"/>
                </w:tcPr>
                <w:p>
                  <w:pPr>
                    <w:spacing w:line="320" w:lineRule="exact"/>
                    <w:jc w:val="center"/>
                    <w:rPr>
                      <w:rFonts w:ascii="宋体" w:hAnsi="宋体"/>
                      <w:szCs w:val="21"/>
                    </w:rPr>
                  </w:pPr>
                </w:p>
              </w:tc>
              <w:tc>
                <w:tcPr>
                  <w:tcW w:w="1115" w:type="dxa"/>
                  <w:vMerge w:val="continue"/>
                  <w:vAlign w:val="center"/>
                </w:tcPr>
                <w:p>
                  <w:pPr>
                    <w:spacing w:line="320" w:lineRule="exact"/>
                    <w:jc w:val="center"/>
                    <w:rPr>
                      <w:rFonts w:ascii="宋体" w:hAnsi="宋体"/>
                      <w:szCs w:val="21"/>
                    </w:rPr>
                  </w:pPr>
                </w:p>
              </w:tc>
              <w:tc>
                <w:tcPr>
                  <w:tcW w:w="2370" w:type="dxa"/>
                  <w:vMerge w:val="continue"/>
                  <w:vAlign w:val="center"/>
                </w:tcPr>
                <w:p>
                  <w:pPr>
                    <w:spacing w:line="320" w:lineRule="exact"/>
                    <w:jc w:val="center"/>
                    <w:rPr>
                      <w:rFonts w:ascii="宋体" w:hAnsi="宋体"/>
                      <w:szCs w:val="21"/>
                    </w:rPr>
                  </w:pPr>
                </w:p>
              </w:tc>
              <w:tc>
                <w:tcPr>
                  <w:tcW w:w="2010" w:type="dxa"/>
                  <w:vMerge w:val="continue"/>
                  <w:vAlign w:val="center"/>
                </w:tcPr>
                <w:p>
                  <w:pPr>
                    <w:spacing w:line="320" w:lineRule="exact"/>
                    <w:jc w:val="center"/>
                    <w:rPr>
                      <w:rFonts w:ascii="宋体" w:hAnsi="宋体"/>
                      <w:szCs w:val="21"/>
                    </w:rPr>
                  </w:pPr>
                </w:p>
              </w:tc>
              <w:tc>
                <w:tcPr>
                  <w:tcW w:w="1597" w:type="dxa"/>
                  <w:vMerge w:val="continue"/>
                  <w:vAlign w:val="center"/>
                </w:tcPr>
                <w:p>
                  <w:pPr>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0" w:hRule="atLeast"/>
              </w:trPr>
              <w:tc>
                <w:tcPr>
                  <w:tcW w:w="795" w:type="dxa"/>
                  <w:vAlign w:val="center"/>
                </w:tcPr>
                <w:p>
                  <w:pPr>
                    <w:spacing w:line="300" w:lineRule="exact"/>
                    <w:jc w:val="center"/>
                    <w:rPr>
                      <w:rFonts w:ascii="宋体" w:hAnsi="宋体"/>
                      <w:szCs w:val="21"/>
                    </w:rPr>
                  </w:pPr>
                  <w:r>
                    <w:rPr>
                      <w:rFonts w:hint="eastAsia" w:ascii="宋体" w:hAnsi="宋体"/>
                      <w:b/>
                      <w:szCs w:val="21"/>
                    </w:rPr>
                    <w:t>OPRP1-1</w:t>
                  </w:r>
                </w:p>
              </w:tc>
              <w:tc>
                <w:tcPr>
                  <w:tcW w:w="930" w:type="dxa"/>
                  <w:vAlign w:val="center"/>
                </w:tcPr>
                <w:p>
                  <w:pPr>
                    <w:spacing w:line="300" w:lineRule="exact"/>
                    <w:jc w:val="center"/>
                    <w:rPr>
                      <w:rFonts w:ascii="宋体" w:hAnsi="宋体"/>
                      <w:szCs w:val="21"/>
                    </w:rPr>
                  </w:pPr>
                  <w:r>
                    <w:rPr>
                      <w:rFonts w:hint="eastAsia"/>
                      <w:szCs w:val="21"/>
                    </w:rPr>
                    <w:t>香辛料验收（花椒类辣椒类除外）</w:t>
                  </w:r>
                </w:p>
              </w:tc>
              <w:tc>
                <w:tcPr>
                  <w:tcW w:w="1115" w:type="dxa"/>
                  <w:vAlign w:val="center"/>
                </w:tcPr>
                <w:p>
                  <w:pPr>
                    <w:spacing w:line="300" w:lineRule="exact"/>
                    <w:rPr>
                      <w:rFonts w:ascii="宋体" w:hAnsi="宋体"/>
                      <w:szCs w:val="21"/>
                    </w:rPr>
                  </w:pPr>
                  <w:r>
                    <w:rPr>
                      <w:rFonts w:hint="eastAsia"/>
                      <w:sz w:val="18"/>
                      <w:szCs w:val="18"/>
                    </w:rPr>
                    <w:t>农残超标、黄曲霉毒素超标等化学危害</w:t>
                  </w:r>
                </w:p>
              </w:tc>
              <w:tc>
                <w:tcPr>
                  <w:tcW w:w="2370" w:type="dxa"/>
                  <w:vAlign w:val="center"/>
                </w:tcPr>
                <w:p>
                  <w:pPr>
                    <w:spacing w:line="220" w:lineRule="exact"/>
                    <w:jc w:val="left"/>
                    <w:rPr>
                      <w:rFonts w:cs="宋体"/>
                      <w:bCs/>
                      <w:kern w:val="0"/>
                      <w:szCs w:val="21"/>
                      <w:lang w:bidi="ar"/>
                    </w:rPr>
                  </w:pPr>
                  <w:r>
                    <w:rPr>
                      <w:rFonts w:hint="eastAsia" w:cs="宋体"/>
                      <w:bCs/>
                      <w:kern w:val="0"/>
                      <w:szCs w:val="21"/>
                      <w:lang w:bidi="ar"/>
                    </w:rPr>
                    <w:t>1.签订原料供应商合作协议，明确质量条款</w:t>
                  </w:r>
                </w:p>
                <w:p>
                  <w:pPr>
                    <w:pStyle w:val="2"/>
                    <w:ind w:left="0"/>
                    <w:rPr>
                      <w:lang w:bidi="ar"/>
                    </w:rPr>
                  </w:pPr>
                  <w:r>
                    <w:rPr>
                      <w:rFonts w:hint="eastAsia"/>
                      <w:lang w:bidi="ar"/>
                    </w:rPr>
                    <w:t>2．不定期对供应商评价</w:t>
                  </w:r>
                </w:p>
              </w:tc>
              <w:tc>
                <w:tcPr>
                  <w:tcW w:w="2010" w:type="dxa"/>
                  <w:vAlign w:val="center"/>
                </w:tcPr>
                <w:p>
                  <w:pPr>
                    <w:spacing w:line="220" w:lineRule="exact"/>
                    <w:jc w:val="left"/>
                    <w:rPr>
                      <w:rFonts w:ascii="宋体" w:hAnsi="宋体"/>
                      <w:szCs w:val="21"/>
                    </w:rPr>
                  </w:pPr>
                  <w:r>
                    <w:rPr>
                      <w:rFonts w:hint="eastAsia" w:ascii="宋体" w:hAnsi="宋体"/>
                      <w:szCs w:val="21"/>
                    </w:rPr>
                    <w:t>1、来自合格供方，</w:t>
                  </w:r>
                  <w:r>
                    <w:rPr>
                      <w:rFonts w:ascii="宋体" w:hAnsi="宋体"/>
                      <w:szCs w:val="21"/>
                    </w:rPr>
                    <w:t>2</w:t>
                  </w:r>
                  <w:r>
                    <w:rPr>
                      <w:rFonts w:hint="eastAsia" w:ascii="宋体" w:hAnsi="宋体"/>
                      <w:szCs w:val="21"/>
                    </w:rPr>
                    <w:t>、第三方检测报告</w:t>
                  </w:r>
                </w:p>
                <w:p>
                  <w:pPr>
                    <w:spacing w:line="220" w:lineRule="exact"/>
                    <w:jc w:val="left"/>
                    <w:rPr>
                      <w:rFonts w:ascii="宋体" w:hAnsi="宋体"/>
                      <w:szCs w:val="21"/>
                    </w:rPr>
                  </w:pPr>
                  <w:r>
                    <w:rPr>
                      <w:rFonts w:hint="eastAsia" w:cs="宋体"/>
                      <w:bCs/>
                      <w:kern w:val="0"/>
                      <w:szCs w:val="21"/>
                      <w:lang w:bidi="ar"/>
                    </w:rPr>
                    <w:t>3、水分≤14.0%</w:t>
                  </w:r>
                </w:p>
              </w:tc>
              <w:tc>
                <w:tcPr>
                  <w:tcW w:w="1597" w:type="dxa"/>
                  <w:vAlign w:val="center"/>
                </w:tcPr>
                <w:p>
                  <w:pPr>
                    <w:spacing w:line="320" w:lineRule="exact"/>
                    <w:rPr>
                      <w:rFonts w:ascii="宋体" w:hAnsi="宋体"/>
                      <w:szCs w:val="21"/>
                    </w:rPr>
                  </w:pPr>
                  <w:r>
                    <w:rPr>
                      <w:rFonts w:hint="eastAsia"/>
                      <w:szCs w:val="21"/>
                    </w:rPr>
                    <w:t>原物料进货检验记录、供方档案、检测报告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795" w:type="dxa"/>
                  <w:vAlign w:val="center"/>
                </w:tcPr>
                <w:p>
                  <w:pPr>
                    <w:spacing w:line="300" w:lineRule="exact"/>
                    <w:jc w:val="center"/>
                    <w:rPr>
                      <w:szCs w:val="21"/>
                    </w:rPr>
                  </w:pPr>
                  <w:r>
                    <w:rPr>
                      <w:rFonts w:hint="eastAsia" w:ascii="宋体" w:hAnsi="宋体"/>
                      <w:b/>
                      <w:szCs w:val="21"/>
                    </w:rPr>
                    <w:t>OPRP1-2</w:t>
                  </w:r>
                </w:p>
              </w:tc>
              <w:tc>
                <w:tcPr>
                  <w:tcW w:w="930" w:type="dxa"/>
                  <w:vAlign w:val="center"/>
                </w:tcPr>
                <w:p>
                  <w:pPr>
                    <w:spacing w:line="300" w:lineRule="exact"/>
                    <w:jc w:val="center"/>
                    <w:rPr>
                      <w:rFonts w:ascii="宋体" w:hAnsi="宋体"/>
                      <w:szCs w:val="21"/>
                    </w:rPr>
                  </w:pPr>
                  <w:r>
                    <w:rPr>
                      <w:rFonts w:hint="eastAsia"/>
                      <w:szCs w:val="21"/>
                    </w:rPr>
                    <w:t>香辛料验收（花椒辣类椒类）</w:t>
                  </w:r>
                </w:p>
              </w:tc>
              <w:tc>
                <w:tcPr>
                  <w:tcW w:w="1115" w:type="dxa"/>
                  <w:vAlign w:val="center"/>
                </w:tcPr>
                <w:p>
                  <w:pPr>
                    <w:spacing w:line="300" w:lineRule="exact"/>
                    <w:rPr>
                      <w:rFonts w:ascii="宋体" w:hAnsi="宋体"/>
                      <w:szCs w:val="21"/>
                    </w:rPr>
                  </w:pPr>
                  <w:r>
                    <w:rPr>
                      <w:rFonts w:hint="eastAsia"/>
                      <w:sz w:val="18"/>
                      <w:szCs w:val="18"/>
                    </w:rPr>
                    <w:t>农残超标、黄曲霉毒素超标等化学危害</w:t>
                  </w:r>
                </w:p>
              </w:tc>
              <w:tc>
                <w:tcPr>
                  <w:tcW w:w="2370" w:type="dxa"/>
                  <w:vAlign w:val="center"/>
                </w:tcPr>
                <w:p>
                  <w:pPr>
                    <w:spacing w:line="220" w:lineRule="exact"/>
                    <w:jc w:val="left"/>
                    <w:rPr>
                      <w:rFonts w:cs="宋体"/>
                      <w:bCs/>
                      <w:kern w:val="0"/>
                      <w:szCs w:val="21"/>
                      <w:lang w:bidi="ar"/>
                    </w:rPr>
                  </w:pPr>
                  <w:r>
                    <w:rPr>
                      <w:rFonts w:hint="eastAsia" w:cs="宋体"/>
                      <w:bCs/>
                      <w:kern w:val="0"/>
                      <w:szCs w:val="21"/>
                      <w:lang w:bidi="ar"/>
                    </w:rPr>
                    <w:t>1.签订原料供应商合作协议，明确质量条款</w:t>
                  </w:r>
                </w:p>
                <w:p>
                  <w:pPr>
                    <w:pStyle w:val="2"/>
                    <w:ind w:left="0"/>
                    <w:rPr>
                      <w:lang w:bidi="ar"/>
                    </w:rPr>
                  </w:pPr>
                  <w:r>
                    <w:rPr>
                      <w:rFonts w:hint="eastAsia"/>
                      <w:lang w:bidi="ar"/>
                    </w:rPr>
                    <w:t>2．不定期对供应商评价</w:t>
                  </w:r>
                </w:p>
              </w:tc>
              <w:tc>
                <w:tcPr>
                  <w:tcW w:w="2010" w:type="dxa"/>
                  <w:vAlign w:val="center"/>
                </w:tcPr>
                <w:p>
                  <w:pPr>
                    <w:spacing w:line="220" w:lineRule="exact"/>
                    <w:jc w:val="left"/>
                    <w:rPr>
                      <w:rFonts w:ascii="宋体" w:hAnsi="宋体"/>
                      <w:szCs w:val="21"/>
                    </w:rPr>
                  </w:pPr>
                  <w:r>
                    <w:rPr>
                      <w:rFonts w:hint="eastAsia" w:ascii="宋体" w:hAnsi="宋体"/>
                      <w:szCs w:val="21"/>
                    </w:rPr>
                    <w:t>1、来自合格供方，</w:t>
                  </w:r>
                  <w:r>
                    <w:rPr>
                      <w:rFonts w:ascii="宋体" w:hAnsi="宋体"/>
                      <w:szCs w:val="21"/>
                    </w:rPr>
                    <w:t>2</w:t>
                  </w:r>
                  <w:r>
                    <w:rPr>
                      <w:rFonts w:hint="eastAsia" w:ascii="宋体" w:hAnsi="宋体"/>
                      <w:szCs w:val="21"/>
                    </w:rPr>
                    <w:t>、第三方检测报告</w:t>
                  </w:r>
                </w:p>
                <w:p>
                  <w:pPr>
                    <w:spacing w:line="220" w:lineRule="exact"/>
                    <w:jc w:val="left"/>
                    <w:rPr>
                      <w:rFonts w:ascii="宋体" w:hAnsi="宋体"/>
                      <w:szCs w:val="21"/>
                    </w:rPr>
                  </w:pPr>
                  <w:r>
                    <w:rPr>
                      <w:rFonts w:hint="eastAsia" w:cs="宋体"/>
                      <w:bCs/>
                      <w:kern w:val="0"/>
                      <w:szCs w:val="21"/>
                      <w:lang w:bidi="ar"/>
                    </w:rPr>
                    <w:t>3、水分≤14.0%</w:t>
                  </w:r>
                </w:p>
              </w:tc>
              <w:tc>
                <w:tcPr>
                  <w:tcW w:w="1597" w:type="dxa"/>
                  <w:vAlign w:val="center"/>
                </w:tcPr>
                <w:p>
                  <w:pPr>
                    <w:spacing w:line="320" w:lineRule="exact"/>
                    <w:rPr>
                      <w:rFonts w:ascii="宋体" w:hAnsi="宋体"/>
                      <w:szCs w:val="21"/>
                    </w:rPr>
                  </w:pPr>
                  <w:r>
                    <w:rPr>
                      <w:rFonts w:hint="eastAsia"/>
                      <w:szCs w:val="21"/>
                    </w:rPr>
                    <w:t>原物料进货检验记录、供方档案、检测报告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795" w:type="dxa"/>
                  <w:vAlign w:val="center"/>
                </w:tcPr>
                <w:p>
                  <w:pPr>
                    <w:spacing w:line="320" w:lineRule="exact"/>
                    <w:jc w:val="center"/>
                    <w:rPr>
                      <w:rFonts w:ascii="宋体" w:hAnsi="宋体"/>
                      <w:szCs w:val="21"/>
                    </w:rPr>
                  </w:pPr>
                  <w:r>
                    <w:rPr>
                      <w:rFonts w:hint="eastAsia" w:ascii="宋体" w:hAnsi="宋体"/>
                      <w:szCs w:val="21"/>
                    </w:rPr>
                    <w:t xml:space="preserve">OPRP2 </w:t>
                  </w:r>
                </w:p>
              </w:tc>
              <w:tc>
                <w:tcPr>
                  <w:tcW w:w="930" w:type="dxa"/>
                  <w:vAlign w:val="center"/>
                </w:tcPr>
                <w:p>
                  <w:pPr>
                    <w:jc w:val="center"/>
                    <w:outlineLvl w:val="1"/>
                    <w:rPr>
                      <w:rFonts w:ascii="宋体" w:hAnsi="宋体"/>
                      <w:szCs w:val="21"/>
                    </w:rPr>
                  </w:pPr>
                  <w:r>
                    <w:rPr>
                      <w:rFonts w:hint="eastAsia" w:ascii="宋体" w:hAnsi="宋体"/>
                      <w:szCs w:val="21"/>
                    </w:rPr>
                    <w:t>原料储存</w:t>
                  </w:r>
                </w:p>
              </w:tc>
              <w:tc>
                <w:tcPr>
                  <w:tcW w:w="1115" w:type="dxa"/>
                  <w:vAlign w:val="center"/>
                </w:tcPr>
                <w:p>
                  <w:pPr>
                    <w:jc w:val="center"/>
                    <w:outlineLvl w:val="1"/>
                    <w:rPr>
                      <w:rFonts w:ascii="宋体" w:hAnsi="宋体"/>
                      <w:szCs w:val="21"/>
                    </w:rPr>
                  </w:pPr>
                  <w:r>
                    <w:rPr>
                      <w:rFonts w:hint="eastAsia" w:ascii="宋体" w:hAnsi="宋体"/>
                      <w:szCs w:val="21"/>
                    </w:rPr>
                    <w:t>水分超标导致黄曲霉繁殖或者毒素超标</w:t>
                  </w:r>
                </w:p>
              </w:tc>
              <w:tc>
                <w:tcPr>
                  <w:tcW w:w="2370" w:type="dxa"/>
                  <w:vAlign w:val="center"/>
                </w:tcPr>
                <w:p>
                  <w:pPr>
                    <w:outlineLvl w:val="1"/>
                    <w:rPr>
                      <w:bCs/>
                      <w:kern w:val="0"/>
                      <w:szCs w:val="21"/>
                      <w:lang w:bidi="ar"/>
                    </w:rPr>
                  </w:pPr>
                  <w:r>
                    <w:rPr>
                      <w:rFonts w:hint="eastAsia" w:ascii="宋体" w:hAnsi="宋体"/>
                      <w:szCs w:val="21"/>
                    </w:rPr>
                    <w:t>仓储温度</w:t>
                  </w:r>
                  <w:r>
                    <w:rPr>
                      <w:rFonts w:hint="eastAsia" w:cs="宋体"/>
                      <w:bCs/>
                      <w:kern w:val="0"/>
                      <w:szCs w:val="21"/>
                      <w:lang w:bidi="ar"/>
                    </w:rPr>
                    <w:t>≤30</w:t>
                  </w:r>
                  <w:r>
                    <w:rPr>
                      <w:bCs/>
                      <w:kern w:val="0"/>
                      <w:szCs w:val="21"/>
                      <w:lang w:bidi="ar"/>
                    </w:rPr>
                    <w:t>℃</w:t>
                  </w:r>
                </w:p>
                <w:p>
                  <w:pPr>
                    <w:pStyle w:val="2"/>
                    <w:rPr>
                      <w:lang w:bidi="ar"/>
                    </w:rPr>
                  </w:pPr>
                  <w:r>
                    <w:rPr>
                      <w:rFonts w:hint="eastAsia"/>
                      <w:lang w:bidi="ar"/>
                    </w:rPr>
                    <w:t>湿度≤</w:t>
                  </w:r>
                  <w:r>
                    <w:rPr>
                      <w:lang w:bidi="ar"/>
                    </w:rPr>
                    <w:t>70RH</w:t>
                  </w:r>
                </w:p>
              </w:tc>
              <w:tc>
                <w:tcPr>
                  <w:tcW w:w="2010" w:type="dxa"/>
                  <w:vAlign w:val="center"/>
                </w:tcPr>
                <w:p>
                  <w:pPr>
                    <w:spacing w:line="320" w:lineRule="exact"/>
                    <w:rPr>
                      <w:rFonts w:ascii="宋体" w:hAnsi="宋体"/>
                      <w:szCs w:val="21"/>
                    </w:rPr>
                  </w:pPr>
                  <w:r>
                    <w:rPr>
                      <w:rFonts w:hint="eastAsia" w:ascii="宋体" w:hAnsi="宋体"/>
                      <w:szCs w:val="21"/>
                    </w:rPr>
                    <w:t>库管人员每天检查原辅料温度</w:t>
                  </w:r>
                </w:p>
              </w:tc>
              <w:tc>
                <w:tcPr>
                  <w:tcW w:w="1597" w:type="dxa"/>
                  <w:vAlign w:val="center"/>
                </w:tcPr>
                <w:p>
                  <w:pPr>
                    <w:spacing w:line="320" w:lineRule="exact"/>
                    <w:rPr>
                      <w:rFonts w:ascii="宋体" w:hAnsi="宋体"/>
                      <w:szCs w:val="21"/>
                    </w:rPr>
                  </w:pPr>
                  <w:r>
                    <w:rPr>
                      <w:rFonts w:hint="eastAsia" w:ascii="宋体" w:hAnsi="宋体"/>
                      <w:szCs w:val="21"/>
                    </w:rPr>
                    <w:t>《仓库温湿度记录表》</w:t>
                  </w:r>
                </w:p>
              </w:tc>
            </w:tr>
          </w:tbl>
          <w:p>
            <w:pPr>
              <w:rPr>
                <w:rFonts w:asciiTheme="minorEastAsia" w:hAnsiTheme="minorEastAsia" w:eastAsiaTheme="minorEastAsia"/>
                <w:szCs w:val="21"/>
              </w:rPr>
            </w:pPr>
            <w:r>
              <w:rPr>
                <w:rFonts w:hint="eastAsia" w:asciiTheme="minorEastAsia" w:hAnsiTheme="minorEastAsia" w:eastAsiaTheme="minorEastAsia"/>
                <w:szCs w:val="21"/>
              </w:rPr>
              <w:t>组织无C</w:t>
            </w:r>
            <w:r>
              <w:rPr>
                <w:rFonts w:asciiTheme="minorEastAsia" w:hAnsiTheme="minorEastAsia" w:eastAsiaTheme="minorEastAsia"/>
                <w:szCs w:val="21"/>
              </w:rPr>
              <w:t>CP</w:t>
            </w:r>
            <w:r>
              <w:rPr>
                <w:rFonts w:hint="eastAsia" w:asciiTheme="minorEastAsia" w:hAnsiTheme="minorEastAsia" w:eastAsiaTheme="minorEastAsia"/>
                <w:szCs w:val="21"/>
              </w:rPr>
              <w:t>点。</w:t>
            </w:r>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057" w:hRule="atLeast"/>
        </w:trPr>
        <w:tc>
          <w:tcPr>
            <w:tcW w:w="2174" w:type="dxa"/>
            <w:vMerge w:val="continue"/>
            <w:shd w:val="clear" w:color="auto" w:fill="auto"/>
          </w:tcPr>
          <w:p/>
        </w:tc>
        <w:tc>
          <w:tcPr>
            <w:tcW w:w="936" w:type="dxa"/>
            <w:gridSpan w:val="2"/>
            <w:shd w:val="clear" w:color="auto" w:fill="auto"/>
          </w:tcPr>
          <w:p>
            <w:r>
              <w:t>8.5.4.4 超出关键限值或行动限值采取的措施</w:t>
            </w:r>
          </w:p>
          <w:p/>
        </w:tc>
        <w:tc>
          <w:tcPr>
            <w:tcW w:w="745" w:type="dxa"/>
            <w:shd w:val="clear" w:color="auto" w:fill="auto"/>
          </w:tcPr>
          <w:p/>
        </w:tc>
        <w:tc>
          <w:tcPr>
            <w:tcW w:w="9523" w:type="dxa"/>
            <w:shd w:val="clear" w:color="auto" w:fill="auto"/>
          </w:tcPr>
          <w:p>
            <w:r>
              <w:rPr/>
              <w:sym w:font="Wingdings" w:char="00A8"/>
            </w:r>
            <w:r>
              <w:t>体系建立以来/</w:t>
            </w:r>
            <w:r>
              <w:rPr/>
              <w:sym w:font="Wingdings" w:char="00FE"/>
            </w:r>
            <w:r>
              <w:t xml:space="preserve">近一年  发生超出行动限值或行动限值的情况   </w:t>
            </w:r>
            <w:r>
              <w:rPr/>
              <w:sym w:font="Wingdings" w:char="00A8"/>
            </w:r>
            <w:r>
              <w:t xml:space="preserve">是  </w:t>
            </w:r>
            <w:r>
              <w:rPr/>
              <w:sym w:font="Wingdings" w:char="00FE"/>
            </w:r>
            <w:r>
              <w:t>否</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7"/>
              <w:gridCol w:w="1507"/>
              <w:gridCol w:w="1770"/>
              <w:gridCol w:w="2810"/>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r>
                    <w:t>发生日期</w:t>
                  </w:r>
                </w:p>
              </w:tc>
              <w:tc>
                <w:tcPr>
                  <w:tcW w:w="1507" w:type="dxa"/>
                </w:tcPr>
                <w:p>
                  <w:r>
                    <w:t>潜在不安全产品未放行</w:t>
                  </w:r>
                </w:p>
              </w:tc>
              <w:tc>
                <w:tcPr>
                  <w:tcW w:w="1770" w:type="dxa"/>
                </w:tcPr>
                <w:p>
                  <w:r>
                    <w:t>不符合的原因</w:t>
                  </w:r>
                </w:p>
              </w:tc>
              <w:tc>
                <w:tcPr>
                  <w:tcW w:w="2810" w:type="dxa"/>
                </w:tcPr>
                <w:p>
                  <w:r>
                    <w:t>使CCP和OPRP控制的参数回到关键限值或行动限值内</w:t>
                  </w:r>
                </w:p>
              </w:tc>
              <w:tc>
                <w:tcPr>
                  <w:tcW w:w="1449" w:type="dxa"/>
                </w:tcPr>
                <w:p>
                  <w:r>
                    <w:t>防止再次发生措施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7" w:type="dxa"/>
                </w:tcPr>
                <w:p>
                  <w:r>
                    <w:t>——</w:t>
                  </w:r>
                </w:p>
              </w:tc>
              <w:tc>
                <w:tcPr>
                  <w:tcW w:w="1507" w:type="dxa"/>
                </w:tcPr>
                <w:p>
                  <w:r>
                    <w:rPr/>
                    <w:sym w:font="Wingdings" w:char="00A8"/>
                  </w:r>
                  <w:r>
                    <w:t xml:space="preserve">是  </w:t>
                  </w:r>
                  <w:r>
                    <w:rPr/>
                    <w:sym w:font="Wingdings" w:char="00A8"/>
                  </w:r>
                  <w:r>
                    <w:t>否</w:t>
                  </w:r>
                </w:p>
              </w:tc>
              <w:tc>
                <w:tcPr>
                  <w:tcW w:w="1770" w:type="dxa"/>
                </w:tcPr>
                <w:p/>
              </w:tc>
              <w:tc>
                <w:tcPr>
                  <w:tcW w:w="2810" w:type="dxa"/>
                </w:tcPr>
                <w:p/>
              </w:tc>
              <w:tc>
                <w:tcPr>
                  <w:tcW w:w="144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tc>
              <w:tc>
                <w:tcPr>
                  <w:tcW w:w="1507" w:type="dxa"/>
                </w:tcPr>
                <w:p>
                  <w:r>
                    <w:rPr/>
                    <w:sym w:font="Wingdings" w:char="00A8"/>
                  </w:r>
                  <w:r>
                    <w:t xml:space="preserve">是  </w:t>
                  </w:r>
                  <w:r>
                    <w:rPr/>
                    <w:sym w:font="Wingdings" w:char="00A8"/>
                  </w:r>
                  <w:r>
                    <w:t>否</w:t>
                  </w:r>
                </w:p>
              </w:tc>
              <w:tc>
                <w:tcPr>
                  <w:tcW w:w="1770" w:type="dxa"/>
                </w:tcPr>
                <w:p/>
              </w:tc>
              <w:tc>
                <w:tcPr>
                  <w:tcW w:w="2810" w:type="dxa"/>
                </w:tcPr>
                <w:p/>
              </w:tc>
              <w:tc>
                <w:tcPr>
                  <w:tcW w:w="144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tc>
              <w:tc>
                <w:tcPr>
                  <w:tcW w:w="1507" w:type="dxa"/>
                </w:tcPr>
                <w:p>
                  <w:r>
                    <w:rPr/>
                    <w:sym w:font="Wingdings" w:char="00A8"/>
                  </w:r>
                  <w:r>
                    <w:t xml:space="preserve">是  </w:t>
                  </w:r>
                  <w:r>
                    <w:rPr/>
                    <w:sym w:font="Wingdings" w:char="00A8"/>
                  </w:r>
                  <w:r>
                    <w:t>否</w:t>
                  </w:r>
                </w:p>
              </w:tc>
              <w:tc>
                <w:tcPr>
                  <w:tcW w:w="1770" w:type="dxa"/>
                </w:tcPr>
                <w:p/>
              </w:tc>
              <w:tc>
                <w:tcPr>
                  <w:tcW w:w="2810" w:type="dxa"/>
                </w:tcPr>
                <w:p/>
              </w:tc>
              <w:tc>
                <w:tcPr>
                  <w:tcW w:w="1449" w:type="dxa"/>
                </w:tcPr>
                <w:p/>
              </w:tc>
            </w:tr>
          </w:tbl>
          <w:p/>
          <w:p>
            <w:r>
              <w:t>组织超出行动限值或行动限值时所采取的纠正（见8.9.2）和纠正措施（见8.9.3）。</w:t>
            </w:r>
          </w:p>
          <w:p/>
        </w:tc>
        <w:tc>
          <w:tcPr>
            <w:tcW w:w="1290" w:type="dxa"/>
            <w:shd w:val="clear" w:color="auto" w:fill="auto"/>
          </w:tcPr>
          <w:p>
            <w:r>
              <w:rPr/>
              <w:sym w:font="Wingdings" w:char="00FE"/>
            </w:r>
            <w:r>
              <w:t>符合</w:t>
            </w:r>
          </w:p>
          <w:p>
            <w:r>
              <w:rPr/>
              <w:sym w:font="Wingdings" w:char="00A8"/>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3304" w:hRule="atLeast"/>
        </w:trPr>
        <w:tc>
          <w:tcPr>
            <w:tcW w:w="2174" w:type="dxa"/>
            <w:vMerge w:val="continue"/>
            <w:shd w:val="clear" w:color="auto" w:fill="auto"/>
          </w:tcPr>
          <w:p/>
        </w:tc>
        <w:tc>
          <w:tcPr>
            <w:tcW w:w="936" w:type="dxa"/>
            <w:gridSpan w:val="2"/>
            <w:shd w:val="clear" w:color="auto" w:fill="auto"/>
          </w:tcPr>
          <w:p>
            <w:r>
              <w:t>8.5.4.5实施危害控制计划</w:t>
            </w:r>
          </w:p>
          <w:p/>
        </w:tc>
        <w:tc>
          <w:tcPr>
            <w:tcW w:w="745" w:type="dxa"/>
            <w:shd w:val="clear" w:color="auto" w:fill="auto"/>
          </w:tcPr>
          <w:p>
            <w:r>
              <w:t>远程查看</w:t>
            </w:r>
          </w:p>
        </w:tc>
        <w:tc>
          <w:tcPr>
            <w:tcW w:w="9523" w:type="dxa"/>
            <w:shd w:val="clear" w:color="auto" w:fill="auto"/>
          </w:tcPr>
          <w:p>
            <w:r>
              <w:t>OPRP的实施情况：</w:t>
            </w:r>
            <w:r>
              <w:rPr>
                <w:b/>
                <w:bCs/>
              </w:rPr>
              <w:t xml:space="preserve"> </w:t>
            </w:r>
            <w:r>
              <w:rPr>
                <w:rFonts w:hint="eastAsia"/>
                <w:b/>
                <w:bCs/>
              </w:rPr>
              <w:t>（见品管部、采购部审核记录）</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588"/>
              <w:gridCol w:w="1701"/>
              <w:gridCol w:w="2087"/>
              <w:gridCol w:w="1394"/>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tc>
              <w:tc>
                <w:tcPr>
                  <w:tcW w:w="1588" w:type="dxa"/>
                </w:tcPr>
                <w:p>
                  <w:r>
                    <w:t>地点</w:t>
                  </w:r>
                </w:p>
              </w:tc>
              <w:tc>
                <w:tcPr>
                  <w:tcW w:w="1701" w:type="dxa"/>
                </w:tcPr>
                <w:p>
                  <w:r>
                    <w:t>操作限值</w:t>
                  </w:r>
                </w:p>
              </w:tc>
              <w:tc>
                <w:tcPr>
                  <w:tcW w:w="2087" w:type="dxa"/>
                </w:tcPr>
                <w:p>
                  <w:r>
                    <w:t>记录情况</w:t>
                  </w:r>
                </w:p>
              </w:tc>
              <w:tc>
                <w:tcPr>
                  <w:tcW w:w="1394" w:type="dxa"/>
                </w:tcPr>
                <w:p>
                  <w:r>
                    <w:t>远程显示</w:t>
                  </w:r>
                </w:p>
              </w:tc>
              <w:tc>
                <w:tcPr>
                  <w:tcW w:w="1349" w:type="dxa"/>
                </w:tcPr>
                <w:p>
                  <w: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924" w:type="dxa"/>
                </w:tcPr>
                <w:p>
                  <w:r>
                    <w:t>OPRP1</w:t>
                  </w:r>
                </w:p>
              </w:tc>
              <w:tc>
                <w:tcPr>
                  <w:tcW w:w="1588" w:type="dxa"/>
                </w:tcPr>
                <w:p/>
              </w:tc>
              <w:tc>
                <w:tcPr>
                  <w:tcW w:w="1701" w:type="dxa"/>
                </w:tcPr>
                <w:p>
                  <w:pPr>
                    <w:rPr>
                      <w:szCs w:val="22"/>
                      <w:lang w:val="fr-FR"/>
                    </w:rPr>
                  </w:pPr>
                </w:p>
              </w:tc>
              <w:tc>
                <w:tcPr>
                  <w:tcW w:w="2087" w:type="dxa"/>
                </w:tcPr>
                <w:p>
                  <w:pPr>
                    <w:rPr>
                      <w:szCs w:val="22"/>
                    </w:rPr>
                  </w:pPr>
                </w:p>
              </w:tc>
              <w:tc>
                <w:tcPr>
                  <w:tcW w:w="1394" w:type="dxa"/>
                </w:tcPr>
                <w:p/>
              </w:tc>
              <w:tc>
                <w:tcPr>
                  <w:tcW w:w="134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 w:type="dxa"/>
                </w:tcPr>
                <w:p>
                  <w:r>
                    <w:t>OPRP2</w:t>
                  </w:r>
                </w:p>
              </w:tc>
              <w:tc>
                <w:tcPr>
                  <w:tcW w:w="1588" w:type="dxa"/>
                </w:tcPr>
                <w:p>
                  <w:pPr>
                    <w:rPr>
                      <w:szCs w:val="22"/>
                    </w:rPr>
                  </w:pPr>
                </w:p>
              </w:tc>
              <w:tc>
                <w:tcPr>
                  <w:tcW w:w="1701" w:type="dxa"/>
                </w:tcPr>
                <w:p>
                  <w:pPr>
                    <w:rPr>
                      <w:szCs w:val="22"/>
                    </w:rPr>
                  </w:pPr>
                </w:p>
              </w:tc>
              <w:tc>
                <w:tcPr>
                  <w:tcW w:w="2087" w:type="dxa"/>
                </w:tcPr>
                <w:p>
                  <w:pPr>
                    <w:rPr>
                      <w:szCs w:val="22"/>
                    </w:rPr>
                  </w:pPr>
                </w:p>
              </w:tc>
              <w:tc>
                <w:tcPr>
                  <w:tcW w:w="1394" w:type="dxa"/>
                </w:tcPr>
                <w:p/>
              </w:tc>
              <w:tc>
                <w:tcPr>
                  <w:tcW w:w="1349" w:type="dxa"/>
                </w:tcPr>
                <w:p/>
              </w:tc>
            </w:tr>
          </w:tbl>
          <w:p>
            <w:pPr>
              <w:pStyle w:val="11"/>
            </w:pPr>
          </w:p>
          <w:p>
            <w:r>
              <w:t>HACCP的实施情况：</w:t>
            </w:r>
            <w:r>
              <w:rPr>
                <w:rFonts w:hint="eastAsia"/>
              </w:rPr>
              <w:t>（见生产部审核记录）</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623"/>
              <w:gridCol w:w="1662"/>
              <w:gridCol w:w="1558"/>
              <w:gridCol w:w="1615"/>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6" w:type="dxa"/>
                </w:tcPr>
                <w:p/>
              </w:tc>
              <w:tc>
                <w:tcPr>
                  <w:tcW w:w="1623" w:type="dxa"/>
                </w:tcPr>
                <w:p>
                  <w:r>
                    <w:t>地点</w:t>
                  </w:r>
                </w:p>
              </w:tc>
              <w:tc>
                <w:tcPr>
                  <w:tcW w:w="1662" w:type="dxa"/>
                </w:tcPr>
                <w:p>
                  <w:r>
                    <w:t>关键限值CL</w:t>
                  </w:r>
                </w:p>
              </w:tc>
              <w:tc>
                <w:tcPr>
                  <w:tcW w:w="1558" w:type="dxa"/>
                </w:tcPr>
                <w:p>
                  <w:r>
                    <w:t>记录情况</w:t>
                  </w:r>
                </w:p>
              </w:tc>
              <w:tc>
                <w:tcPr>
                  <w:tcW w:w="1615" w:type="dxa"/>
                </w:tcPr>
                <w:p>
                  <w:r>
                    <w:t>远程显示</w:t>
                  </w:r>
                </w:p>
              </w:tc>
              <w:tc>
                <w:tcPr>
                  <w:tcW w:w="1349" w:type="dxa"/>
                </w:tcPr>
                <w:p>
                  <w: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r>
                    <w:t>CCP1</w:t>
                  </w:r>
                </w:p>
              </w:tc>
              <w:tc>
                <w:tcPr>
                  <w:tcW w:w="1623" w:type="dxa"/>
                </w:tcPr>
                <w:p/>
              </w:tc>
              <w:tc>
                <w:tcPr>
                  <w:tcW w:w="1662" w:type="dxa"/>
                  <w:vAlign w:val="center"/>
                </w:tcPr>
                <w:p>
                  <w:pPr>
                    <w:jc w:val="center"/>
                    <w:rPr>
                      <w:sz w:val="24"/>
                    </w:rPr>
                  </w:pPr>
                </w:p>
              </w:tc>
              <w:tc>
                <w:tcPr>
                  <w:tcW w:w="1558" w:type="dxa"/>
                  <w:vAlign w:val="center"/>
                </w:tcPr>
                <w:p>
                  <w:pPr>
                    <w:jc w:val="center"/>
                    <w:rPr>
                      <w:sz w:val="24"/>
                    </w:rPr>
                  </w:pPr>
                </w:p>
              </w:tc>
              <w:tc>
                <w:tcPr>
                  <w:tcW w:w="1615" w:type="dxa"/>
                  <w:vAlign w:val="center"/>
                </w:tcPr>
                <w:p>
                  <w:pPr>
                    <w:jc w:val="center"/>
                    <w:rPr>
                      <w:sz w:val="24"/>
                    </w:rPr>
                  </w:pPr>
                </w:p>
              </w:tc>
              <w:tc>
                <w:tcPr>
                  <w:tcW w:w="1349"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r>
                    <w:t>CCP2</w:t>
                  </w:r>
                </w:p>
              </w:tc>
              <w:tc>
                <w:tcPr>
                  <w:tcW w:w="1623" w:type="dxa"/>
                </w:tcPr>
                <w:p/>
              </w:tc>
              <w:tc>
                <w:tcPr>
                  <w:tcW w:w="1662" w:type="dxa"/>
                  <w:vAlign w:val="center"/>
                </w:tcPr>
                <w:p>
                  <w:pPr>
                    <w:jc w:val="center"/>
                    <w:rPr>
                      <w:sz w:val="24"/>
                    </w:rPr>
                  </w:pPr>
                </w:p>
              </w:tc>
              <w:tc>
                <w:tcPr>
                  <w:tcW w:w="1558" w:type="dxa"/>
                  <w:vAlign w:val="center"/>
                </w:tcPr>
                <w:p>
                  <w:pPr>
                    <w:jc w:val="center"/>
                    <w:rPr>
                      <w:sz w:val="24"/>
                    </w:rPr>
                  </w:pPr>
                </w:p>
              </w:tc>
              <w:tc>
                <w:tcPr>
                  <w:tcW w:w="1615" w:type="dxa"/>
                  <w:vAlign w:val="center"/>
                </w:tcPr>
                <w:p>
                  <w:pPr>
                    <w:jc w:val="center"/>
                    <w:rPr>
                      <w:sz w:val="24"/>
                    </w:rPr>
                  </w:pPr>
                </w:p>
              </w:tc>
              <w:tc>
                <w:tcPr>
                  <w:tcW w:w="1349" w:type="dxa"/>
                  <w:vAlign w:val="center"/>
                </w:tcPr>
                <w:p>
                  <w:pPr>
                    <w:jc w:val="center"/>
                    <w:rPr>
                      <w:sz w:val="24"/>
                    </w:rPr>
                  </w:pPr>
                </w:p>
              </w:tc>
            </w:tr>
          </w:tbl>
          <w:p>
            <w:pPr>
              <w:rPr>
                <w:color w:val="558ED5" w:themeColor="text2" w:themeTint="99"/>
                <w14:textFill>
                  <w14:solidFill>
                    <w14:schemeClr w14:val="tx2">
                      <w14:lumMod w14:val="60000"/>
                      <w14:lumOff w14:val="40000"/>
                    </w14:schemeClr>
                  </w14:solidFill>
                </w14:textFill>
              </w:rPr>
            </w:pPr>
          </w:p>
          <w:p/>
        </w:tc>
        <w:tc>
          <w:tcPr>
            <w:tcW w:w="1290" w:type="dxa"/>
            <w:shd w:val="clear" w:color="auto" w:fill="auto"/>
          </w:tcPr>
          <w:p>
            <w:r>
              <w:rPr/>
              <w:sym w:font="Wingdings" w:char="00FE"/>
            </w:r>
            <w:r>
              <w:t>符合</w:t>
            </w:r>
          </w:p>
          <w:p>
            <w:r>
              <w:rPr/>
              <w:sym w:font="Wingdings" w:char="00A8"/>
            </w:r>
            <w:r>
              <w:t>不符合</w:t>
            </w:r>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86" w:hRule="atLeast"/>
        </w:trPr>
        <w:tc>
          <w:tcPr>
            <w:tcW w:w="2174" w:type="dxa"/>
            <w:vMerge w:val="restart"/>
            <w:shd w:val="clear" w:color="auto" w:fill="auto"/>
          </w:tcPr>
          <w:p>
            <w:r>
              <w:t>PRP和危害控制计划文件的更新</w:t>
            </w:r>
          </w:p>
        </w:tc>
        <w:tc>
          <w:tcPr>
            <w:tcW w:w="936" w:type="dxa"/>
            <w:gridSpan w:val="2"/>
            <w:vMerge w:val="restart"/>
            <w:shd w:val="clear" w:color="auto" w:fill="auto"/>
          </w:tcPr>
          <w:p>
            <w:r>
              <w:t>F8.6</w:t>
            </w:r>
          </w:p>
          <w:p/>
        </w:tc>
        <w:tc>
          <w:tcPr>
            <w:tcW w:w="745" w:type="dxa"/>
            <w:shd w:val="clear" w:color="auto" w:fill="auto"/>
          </w:tcPr>
          <w:p>
            <w:r>
              <w:t>文件名称</w:t>
            </w:r>
          </w:p>
        </w:tc>
        <w:tc>
          <w:tcPr>
            <w:tcW w:w="9523" w:type="dxa"/>
            <w:shd w:val="clear" w:color="auto" w:fill="auto"/>
          </w:tcPr>
          <w:p>
            <w:r>
              <w:t>如：</w:t>
            </w:r>
            <w:r>
              <w:rPr/>
              <w:sym w:font="Wingdings" w:char="00FE"/>
            </w:r>
            <w:r>
              <w:t>《</w:t>
            </w:r>
            <w:r>
              <w:rPr>
                <w:rFonts w:hint="eastAsia"/>
              </w:rPr>
              <w:t>确认程序</w:t>
            </w:r>
            <w:r>
              <w:t>》</w:t>
            </w:r>
            <w:r>
              <w:rPr>
                <w:rFonts w:hint="eastAsia"/>
              </w:rPr>
              <w:t>，</w:t>
            </w:r>
            <w:r>
              <w:rPr/>
              <w:sym w:font="Wingdings" w:char="00FE"/>
            </w:r>
            <w:r>
              <w:rPr>
                <w:rFonts w:hint="eastAsia"/>
              </w:rPr>
              <w:t>手册8</w:t>
            </w:r>
            <w:r>
              <w:t>.6</w:t>
            </w:r>
            <w:r>
              <w:rPr>
                <w:rFonts w:hint="eastAsia"/>
              </w:rPr>
              <w:t>条款</w:t>
            </w:r>
          </w:p>
        </w:tc>
        <w:tc>
          <w:tcPr>
            <w:tcW w:w="1290" w:type="dxa"/>
            <w:vMerge w:val="restart"/>
            <w:shd w:val="clear" w:color="auto" w:fill="auto"/>
          </w:tcPr>
          <w:p>
            <w:r>
              <w:rPr/>
              <w:sym w:font="Wingdings" w:char="00FE"/>
            </w:r>
            <w:r>
              <w:t>符合</w:t>
            </w:r>
          </w:p>
          <w:p>
            <w:r>
              <w:rPr/>
              <w:sym w:font="Wingdings" w:char="00A8"/>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3936"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t>运行证据</w:t>
            </w:r>
          </w:p>
        </w:tc>
        <w:tc>
          <w:tcPr>
            <w:tcW w:w="9523" w:type="dxa"/>
            <w:shd w:val="clear" w:color="auto" w:fill="auto"/>
          </w:tcPr>
          <w:p>
            <w:r>
              <w:t>制定OPRP计划和（或） HACCP计划后， 组织对如下信息进行更新：</w:t>
            </w:r>
          </w:p>
          <w:p>
            <w:r>
              <w:rPr/>
              <w:sym w:font="Wingdings" w:char="00FE"/>
            </w:r>
            <w:r>
              <w:rPr>
                <w:rFonts w:hint="eastAsia"/>
              </w:rPr>
              <w:t>近一年</w:t>
            </w:r>
            <w:r>
              <w:t>以来未发生</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300"/>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r>
                    <w:t>变更的内容</w:t>
                  </w:r>
                </w:p>
              </w:tc>
              <w:tc>
                <w:tcPr>
                  <w:tcW w:w="2300" w:type="dxa"/>
                </w:tcPr>
                <w:p>
                  <w:r>
                    <w:t>变更的时间</w:t>
                  </w:r>
                </w:p>
              </w:tc>
              <w:tc>
                <w:tcPr>
                  <w:tcW w:w="4818" w:type="dxa"/>
                </w:tcPr>
                <w:p>
                  <w:r>
                    <w:t>变更的内容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r>
                    <w:t>原料、 辅料和与产品接触材料的特性</w:t>
                  </w:r>
                </w:p>
              </w:tc>
              <w:tc>
                <w:tcPr>
                  <w:tcW w:w="2300" w:type="dxa"/>
                </w:tcPr>
                <w:p>
                  <w:r>
                    <w:t>——</w:t>
                  </w:r>
                </w:p>
              </w:tc>
              <w:tc>
                <w:tcPr>
                  <w:tcW w:w="481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r>
                    <w:t>成品特性</w:t>
                  </w:r>
                </w:p>
              </w:tc>
              <w:tc>
                <w:tcPr>
                  <w:tcW w:w="2300" w:type="dxa"/>
                </w:tcPr>
                <w:p>
                  <w:r>
                    <w:t>——</w:t>
                  </w:r>
                </w:p>
              </w:tc>
              <w:tc>
                <w:tcPr>
                  <w:tcW w:w="481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r>
                    <w:t>预期用途</w:t>
                  </w:r>
                </w:p>
              </w:tc>
              <w:tc>
                <w:tcPr>
                  <w:tcW w:w="2300" w:type="dxa"/>
                </w:tcPr>
                <w:p>
                  <w:r>
                    <w:t>——</w:t>
                  </w:r>
                </w:p>
              </w:tc>
              <w:tc>
                <w:tcPr>
                  <w:tcW w:w="481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r>
                    <w:t>流程图、 工艺步骤和控制措施</w:t>
                  </w:r>
                </w:p>
              </w:tc>
              <w:tc>
                <w:tcPr>
                  <w:tcW w:w="2300" w:type="dxa"/>
                </w:tcPr>
                <w:p>
                  <w:r>
                    <w:t>——</w:t>
                  </w:r>
                </w:p>
              </w:tc>
              <w:tc>
                <w:tcPr>
                  <w:tcW w:w="481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r>
                    <w:t>PRP</w:t>
                  </w:r>
                </w:p>
              </w:tc>
              <w:tc>
                <w:tcPr>
                  <w:tcW w:w="2300" w:type="dxa"/>
                </w:tcPr>
                <w:p>
                  <w:r>
                    <w:t>——</w:t>
                  </w:r>
                </w:p>
              </w:tc>
              <w:tc>
                <w:tcPr>
                  <w:tcW w:w="481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r>
                    <w:t>OPRP计划</w:t>
                  </w:r>
                </w:p>
              </w:tc>
              <w:tc>
                <w:tcPr>
                  <w:tcW w:w="2300" w:type="dxa"/>
                </w:tcPr>
                <w:p>
                  <w:r>
                    <w:t>——</w:t>
                  </w:r>
                </w:p>
              </w:tc>
              <w:tc>
                <w:tcPr>
                  <w:tcW w:w="481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r>
                    <w:t>HACCP计划</w:t>
                  </w:r>
                </w:p>
              </w:tc>
              <w:tc>
                <w:tcPr>
                  <w:tcW w:w="2300" w:type="dxa"/>
                </w:tcPr>
                <w:p>
                  <w:r>
                    <w:t>——</w:t>
                  </w:r>
                </w:p>
              </w:tc>
              <w:tc>
                <w:tcPr>
                  <w:tcW w:w="4818" w:type="dxa"/>
                </w:tcPr>
                <w:p/>
              </w:tc>
            </w:tr>
          </w:tbl>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546" w:hRule="atLeast"/>
        </w:trPr>
        <w:tc>
          <w:tcPr>
            <w:tcW w:w="2174" w:type="dxa"/>
            <w:vMerge w:val="restart"/>
            <w:shd w:val="clear" w:color="auto" w:fill="auto"/>
          </w:tcPr>
          <w:p>
            <w:r>
              <w:t>与 PRP、危害控制计划有关的验证</w:t>
            </w:r>
          </w:p>
          <w:p/>
        </w:tc>
        <w:tc>
          <w:tcPr>
            <w:tcW w:w="936" w:type="dxa"/>
            <w:gridSpan w:val="2"/>
            <w:vMerge w:val="restart"/>
            <w:shd w:val="clear" w:color="auto" w:fill="auto"/>
          </w:tcPr>
          <w:p>
            <w:r>
              <w:t>F8.8.1</w:t>
            </w:r>
          </w:p>
          <w:p/>
        </w:tc>
        <w:tc>
          <w:tcPr>
            <w:tcW w:w="745" w:type="dxa"/>
            <w:shd w:val="clear" w:color="auto" w:fill="auto"/>
          </w:tcPr>
          <w:p>
            <w:r>
              <w:t>文件名称</w:t>
            </w:r>
          </w:p>
        </w:tc>
        <w:tc>
          <w:tcPr>
            <w:tcW w:w="9523" w:type="dxa"/>
            <w:shd w:val="clear" w:color="auto" w:fill="auto"/>
          </w:tcPr>
          <w:p>
            <w:r>
              <w:t>如：</w:t>
            </w:r>
            <w:r>
              <w:rPr>
                <w:rFonts w:hint="eastAsia" w:ascii="宋体" w:hAnsi="宋体"/>
              </w:rPr>
              <w:t>□</w:t>
            </w:r>
            <w:r>
              <w:t>《确认和验证控制程序》</w:t>
            </w:r>
            <w:r>
              <w:rPr>
                <w:rFonts w:hint="eastAsia"/>
              </w:rPr>
              <w:t>、</w:t>
            </w:r>
            <w:r>
              <w:t xml:space="preserve"> </w:t>
            </w:r>
            <w:r>
              <w:rPr/>
              <w:sym w:font="Wingdings" w:char="00A8"/>
            </w:r>
            <w:r>
              <w:rPr>
                <w:rFonts w:hint="eastAsia"/>
              </w:rPr>
              <w:t>《验证程序》、</w:t>
            </w:r>
            <w:r>
              <w:t xml:space="preserve"> </w:t>
            </w:r>
            <w:r>
              <w:rPr/>
              <w:sym w:font="Wingdings" w:char="00FE"/>
            </w:r>
            <w:r>
              <w:t>《</w:t>
            </w:r>
            <w:r>
              <w:rPr>
                <w:rFonts w:hint="eastAsia"/>
                <w:szCs w:val="21"/>
              </w:rPr>
              <w:t>确认程序</w:t>
            </w:r>
            <w:r>
              <w:rPr>
                <w:sz w:val="18"/>
                <w:szCs w:val="18"/>
              </w:rPr>
              <w:t>》</w:t>
            </w:r>
          </w:p>
        </w:tc>
        <w:tc>
          <w:tcPr>
            <w:tcW w:w="1290" w:type="dxa"/>
            <w:vMerge w:val="restart"/>
            <w:shd w:val="clear" w:color="auto" w:fill="auto"/>
          </w:tcPr>
          <w:p>
            <w:r>
              <w:rPr/>
              <w:sym w:font="Wingdings" w:char="00FE"/>
            </w:r>
            <w:r>
              <w:t>符合</w:t>
            </w:r>
          </w:p>
          <w:p>
            <w:r>
              <w:rPr/>
              <w:sym w:font="Wingdings" w:char="00A8"/>
            </w:r>
            <w:r>
              <w:t>不符合</w:t>
            </w: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Pr>
              <w:pStyle w:val="11"/>
              <w:rPr>
                <w:rFonts w:ascii="Times New Roman" w:hAnsi="Times New Roman"/>
              </w:rPr>
            </w:pPr>
          </w:p>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93"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t>运行证据</w:t>
            </w:r>
          </w:p>
        </w:tc>
        <w:tc>
          <w:tcPr>
            <w:tcW w:w="9523" w:type="dxa"/>
            <w:shd w:val="clear" w:color="auto" w:fill="auto"/>
          </w:tcPr>
          <w:p>
            <w:r>
              <w:t>组织建立、实施和保持验证活动。</w:t>
            </w:r>
          </w:p>
          <w:tbl>
            <w:tblPr>
              <w:tblStyle w:val="12"/>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1387"/>
              <w:gridCol w:w="2470"/>
              <w:gridCol w:w="1382"/>
              <w:gridCol w:w="1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95" w:type="dxa"/>
                </w:tcPr>
                <w:p>
                  <w:pPr>
                    <w:rPr>
                      <w:szCs w:val="21"/>
                    </w:rPr>
                  </w:pPr>
                  <w:r>
                    <w:rPr>
                      <w:rFonts w:hint="eastAsia"/>
                      <w:szCs w:val="21"/>
                    </w:rPr>
                    <w:t>目的</w:t>
                  </w:r>
                </w:p>
              </w:tc>
              <w:tc>
                <w:tcPr>
                  <w:tcW w:w="1387" w:type="dxa"/>
                </w:tcPr>
                <w:p>
                  <w:pPr>
                    <w:rPr>
                      <w:szCs w:val="21"/>
                    </w:rPr>
                  </w:pPr>
                  <w:r>
                    <w:rPr>
                      <w:rFonts w:hint="eastAsia"/>
                      <w:szCs w:val="21"/>
                    </w:rPr>
                    <w:t>方法</w:t>
                  </w:r>
                </w:p>
              </w:tc>
              <w:tc>
                <w:tcPr>
                  <w:tcW w:w="2470" w:type="dxa"/>
                </w:tcPr>
                <w:p>
                  <w:pPr>
                    <w:rPr>
                      <w:szCs w:val="21"/>
                    </w:rPr>
                  </w:pPr>
                  <w:r>
                    <w:rPr>
                      <w:rFonts w:hint="eastAsia"/>
                      <w:szCs w:val="21"/>
                    </w:rPr>
                    <w:t>频次</w:t>
                  </w:r>
                </w:p>
              </w:tc>
              <w:tc>
                <w:tcPr>
                  <w:tcW w:w="1382" w:type="dxa"/>
                </w:tcPr>
                <w:p>
                  <w:pPr>
                    <w:rPr>
                      <w:szCs w:val="21"/>
                    </w:rPr>
                  </w:pPr>
                  <w:r>
                    <w:rPr>
                      <w:rFonts w:hint="eastAsia"/>
                      <w:szCs w:val="21"/>
                    </w:rPr>
                    <w:t>职责</w:t>
                  </w:r>
                </w:p>
              </w:tc>
              <w:tc>
                <w:tcPr>
                  <w:tcW w:w="1809" w:type="dxa"/>
                </w:tcPr>
                <w:p>
                  <w:pPr>
                    <w:rPr>
                      <w:szCs w:val="21"/>
                    </w:rPr>
                  </w:pPr>
                  <w:r>
                    <w:rPr>
                      <w:rFonts w:hint="eastAsia"/>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5" w:type="dxa"/>
                </w:tcPr>
                <w:p>
                  <w:pPr>
                    <w:rPr>
                      <w:szCs w:val="21"/>
                    </w:rPr>
                  </w:pPr>
                  <w:r>
                    <w:rPr>
                      <w:rFonts w:hint="eastAsia"/>
                      <w:szCs w:val="21"/>
                    </w:rPr>
                    <w:t>PRP已实施且有效</w:t>
                  </w:r>
                </w:p>
              </w:tc>
              <w:tc>
                <w:tcPr>
                  <w:tcW w:w="1387" w:type="dxa"/>
                </w:tcPr>
                <w:p>
                  <w:pPr>
                    <w:rPr>
                      <w:szCs w:val="21"/>
                    </w:rPr>
                  </w:pPr>
                  <w:r>
                    <w:rPr>
                      <w:rFonts w:hint="eastAsia"/>
                      <w:szCs w:val="21"/>
                    </w:rPr>
                    <w:t>自行检查</w:t>
                  </w:r>
                </w:p>
              </w:tc>
              <w:tc>
                <w:tcPr>
                  <w:tcW w:w="2470" w:type="dxa"/>
                </w:tcPr>
                <w:p>
                  <w:pPr>
                    <w:rPr>
                      <w:szCs w:val="21"/>
                    </w:rPr>
                  </w:pPr>
                  <w:r>
                    <w:rPr>
                      <w:rFonts w:hint="eastAsia"/>
                      <w:szCs w:val="21"/>
                    </w:rPr>
                    <w:t>首次运行或变更后重新运行时，每年至少进行一次</w:t>
                  </w:r>
                </w:p>
              </w:tc>
              <w:tc>
                <w:tcPr>
                  <w:tcW w:w="1382" w:type="dxa"/>
                </w:tcPr>
                <w:p>
                  <w:pPr>
                    <w:rPr>
                      <w:szCs w:val="21"/>
                    </w:rPr>
                  </w:pPr>
                  <w:r>
                    <w:rPr>
                      <w:rFonts w:hint="eastAsia"/>
                      <w:szCs w:val="21"/>
                    </w:rPr>
                    <w:t>食品安全小组</w:t>
                  </w:r>
                </w:p>
              </w:tc>
              <w:tc>
                <w:tcPr>
                  <w:tcW w:w="1809" w:type="dxa"/>
                </w:tcPr>
                <w:p>
                  <w:pPr>
                    <w:rPr>
                      <w:szCs w:val="21"/>
                    </w:rPr>
                  </w:pPr>
                  <w:r>
                    <w:rPr>
                      <w:rFonts w:hint="eastAsia"/>
                    </w:rPr>
                    <w:sym w:font="Wingdings" w:char="00FE"/>
                  </w:r>
                  <w:r>
                    <w:rPr>
                      <w:rFonts w:hint="eastAsia"/>
                      <w:szCs w:val="21"/>
                    </w:rPr>
                    <w:t xml:space="preserve">控制有效   </w:t>
                  </w:r>
                </w:p>
                <w:p>
                  <w:pPr>
                    <w:rPr>
                      <w:szCs w:val="21"/>
                    </w:rPr>
                  </w:pPr>
                  <w:r>
                    <w:rPr>
                      <w:rFonts w:hint="eastAsia"/>
                      <w:szCs w:val="21"/>
                    </w:rPr>
                    <w:sym w:font="Wingdings" w:char="00A8"/>
                  </w:r>
                  <w:r>
                    <w:rPr>
                      <w:rFonts w:hint="eastAsia"/>
                      <w:szCs w:val="21"/>
                    </w:rPr>
                    <w:t>控制无效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95" w:type="dxa"/>
                </w:tcPr>
                <w:p>
                  <w:pPr>
                    <w:rPr>
                      <w:szCs w:val="21"/>
                    </w:rPr>
                  </w:pPr>
                  <w:r>
                    <w:rPr>
                      <w:rFonts w:hint="eastAsia"/>
                      <w:szCs w:val="21"/>
                    </w:rPr>
                    <w:t>危害控制计划实施有效</w:t>
                  </w:r>
                </w:p>
              </w:tc>
              <w:tc>
                <w:tcPr>
                  <w:tcW w:w="1387" w:type="dxa"/>
                </w:tcPr>
                <w:p>
                  <w:pPr>
                    <w:rPr>
                      <w:szCs w:val="21"/>
                    </w:rPr>
                  </w:pPr>
                  <w:r>
                    <w:rPr>
                      <w:rFonts w:hint="eastAsia"/>
                      <w:szCs w:val="21"/>
                    </w:rPr>
                    <w:t>自行检查</w:t>
                  </w:r>
                </w:p>
              </w:tc>
              <w:tc>
                <w:tcPr>
                  <w:tcW w:w="2470" w:type="dxa"/>
                </w:tcPr>
                <w:p>
                  <w:pPr>
                    <w:rPr>
                      <w:szCs w:val="21"/>
                    </w:rPr>
                  </w:pPr>
                  <w:r>
                    <w:rPr>
                      <w:rFonts w:hint="eastAsia"/>
                      <w:szCs w:val="21"/>
                    </w:rPr>
                    <w:t>每年至少进行一次</w:t>
                  </w:r>
                </w:p>
              </w:tc>
              <w:tc>
                <w:tcPr>
                  <w:tcW w:w="1382" w:type="dxa"/>
                </w:tcPr>
                <w:p>
                  <w:pPr>
                    <w:rPr>
                      <w:szCs w:val="21"/>
                    </w:rPr>
                  </w:pPr>
                  <w:r>
                    <w:rPr>
                      <w:rFonts w:hint="eastAsia"/>
                      <w:szCs w:val="21"/>
                    </w:rPr>
                    <w:t>食品安全小组</w:t>
                  </w:r>
                </w:p>
              </w:tc>
              <w:tc>
                <w:tcPr>
                  <w:tcW w:w="1809" w:type="dxa"/>
                </w:tcPr>
                <w:p>
                  <w:pPr>
                    <w:rPr>
                      <w:szCs w:val="21"/>
                    </w:rPr>
                  </w:pPr>
                  <w:r>
                    <w:rPr>
                      <w:rFonts w:hint="eastAsia"/>
                    </w:rPr>
                    <w:sym w:font="Wingdings" w:char="00FE"/>
                  </w:r>
                  <w:r>
                    <w:rPr>
                      <w:rFonts w:hint="eastAsia"/>
                      <w:szCs w:val="21"/>
                    </w:rPr>
                    <w:t xml:space="preserve">控制有效   </w:t>
                  </w:r>
                </w:p>
                <w:p>
                  <w:pPr>
                    <w:rPr>
                      <w:szCs w:val="21"/>
                    </w:rPr>
                  </w:pPr>
                  <w:r>
                    <w:rPr>
                      <w:rFonts w:hint="eastAsia"/>
                      <w:szCs w:val="21"/>
                    </w:rPr>
                    <w:sym w:font="Wingdings" w:char="00A8"/>
                  </w:r>
                  <w:r>
                    <w:rPr>
                      <w:rFonts w:hint="eastAsia"/>
                      <w:szCs w:val="21"/>
                    </w:rPr>
                    <w:t>控制无效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5" w:type="dxa"/>
                </w:tcPr>
                <w:p>
                  <w:pPr>
                    <w:rPr>
                      <w:szCs w:val="21"/>
                    </w:rPr>
                  </w:pPr>
                  <w:r>
                    <w:rPr>
                      <w:rFonts w:hint="eastAsia"/>
                      <w:szCs w:val="21"/>
                    </w:rPr>
                    <w:t>危害水平在确定的可接受水平之内</w:t>
                  </w:r>
                </w:p>
              </w:tc>
              <w:tc>
                <w:tcPr>
                  <w:tcW w:w="1387" w:type="dxa"/>
                </w:tcPr>
                <w:p>
                  <w:pPr>
                    <w:rPr>
                      <w:szCs w:val="21"/>
                    </w:rPr>
                  </w:pPr>
                  <w:r>
                    <w:rPr>
                      <w:rFonts w:hint="eastAsia"/>
                      <w:szCs w:val="21"/>
                    </w:rPr>
                    <w:t>自行检查</w:t>
                  </w:r>
                </w:p>
                <w:p>
                  <w:pPr>
                    <w:rPr>
                      <w:szCs w:val="21"/>
                    </w:rPr>
                  </w:pPr>
                  <w:r>
                    <w:rPr>
                      <w:rFonts w:hint="eastAsia"/>
                      <w:szCs w:val="21"/>
                    </w:rPr>
                    <w:t>外部送检</w:t>
                  </w:r>
                </w:p>
              </w:tc>
              <w:tc>
                <w:tcPr>
                  <w:tcW w:w="2470" w:type="dxa"/>
                </w:tcPr>
                <w:p>
                  <w:pPr>
                    <w:rPr>
                      <w:szCs w:val="21"/>
                    </w:rPr>
                  </w:pPr>
                  <w:r>
                    <w:rPr>
                      <w:rFonts w:hint="eastAsia"/>
                      <w:szCs w:val="21"/>
                    </w:rPr>
                    <w:t>每年一次</w:t>
                  </w:r>
                </w:p>
              </w:tc>
              <w:tc>
                <w:tcPr>
                  <w:tcW w:w="1382" w:type="dxa"/>
                </w:tcPr>
                <w:p>
                  <w:pPr>
                    <w:rPr>
                      <w:szCs w:val="21"/>
                    </w:rPr>
                  </w:pPr>
                  <w:r>
                    <w:rPr>
                      <w:rFonts w:hint="eastAsia"/>
                      <w:szCs w:val="21"/>
                    </w:rPr>
                    <w:t>食品安全小组</w:t>
                  </w:r>
                </w:p>
              </w:tc>
              <w:tc>
                <w:tcPr>
                  <w:tcW w:w="1809" w:type="dxa"/>
                </w:tcPr>
                <w:p>
                  <w:pPr>
                    <w:rPr>
                      <w:szCs w:val="21"/>
                    </w:rPr>
                  </w:pPr>
                  <w:r>
                    <w:rPr>
                      <w:rFonts w:hint="eastAsia"/>
                    </w:rPr>
                    <w:sym w:font="Wingdings" w:char="00FE"/>
                  </w:r>
                  <w:r>
                    <w:rPr>
                      <w:rFonts w:hint="eastAsia"/>
                      <w:szCs w:val="21"/>
                    </w:rPr>
                    <w:t xml:space="preserve">控制有效   </w:t>
                  </w:r>
                </w:p>
                <w:p>
                  <w:pPr>
                    <w:rPr>
                      <w:szCs w:val="21"/>
                    </w:rPr>
                  </w:pPr>
                  <w:r>
                    <w:rPr>
                      <w:rFonts w:hint="eastAsia"/>
                      <w:szCs w:val="21"/>
                    </w:rPr>
                    <w:sym w:font="Wingdings" w:char="00A8"/>
                  </w:r>
                  <w:r>
                    <w:rPr>
                      <w:rFonts w:hint="eastAsia"/>
                      <w:szCs w:val="21"/>
                    </w:rPr>
                    <w:t>控制无效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5" w:type="dxa"/>
                </w:tcPr>
                <w:p>
                  <w:pPr>
                    <w:rPr>
                      <w:szCs w:val="21"/>
                    </w:rPr>
                  </w:pPr>
                  <w:r>
                    <w:rPr>
                      <w:rFonts w:hint="eastAsia"/>
                      <w:szCs w:val="21"/>
                    </w:rPr>
                    <w:t>危害分析输入的更新</w:t>
                  </w:r>
                </w:p>
              </w:tc>
              <w:tc>
                <w:tcPr>
                  <w:tcW w:w="1387" w:type="dxa"/>
                </w:tcPr>
                <w:p>
                  <w:pPr>
                    <w:rPr>
                      <w:szCs w:val="21"/>
                    </w:rPr>
                  </w:pPr>
                  <w:r>
                    <w:rPr>
                      <w:rFonts w:hint="eastAsia"/>
                      <w:szCs w:val="21"/>
                    </w:rPr>
                    <w:t>自行检查</w:t>
                  </w:r>
                </w:p>
              </w:tc>
              <w:tc>
                <w:tcPr>
                  <w:tcW w:w="2470" w:type="dxa"/>
                </w:tcPr>
                <w:p>
                  <w:pPr>
                    <w:rPr>
                      <w:szCs w:val="21"/>
                    </w:rPr>
                  </w:pPr>
                  <w:r>
                    <w:rPr>
                      <w:rFonts w:hint="eastAsia"/>
                      <w:szCs w:val="21"/>
                    </w:rPr>
                    <w:t>首次运行或变更后重新运行时和不超过六个月的时间间隔进行</w:t>
                  </w:r>
                </w:p>
              </w:tc>
              <w:tc>
                <w:tcPr>
                  <w:tcW w:w="1382" w:type="dxa"/>
                </w:tcPr>
                <w:p>
                  <w:pPr>
                    <w:rPr>
                      <w:szCs w:val="21"/>
                    </w:rPr>
                  </w:pPr>
                  <w:r>
                    <w:rPr>
                      <w:rFonts w:hint="eastAsia"/>
                      <w:szCs w:val="21"/>
                    </w:rPr>
                    <w:t>食品安全小组</w:t>
                  </w:r>
                </w:p>
              </w:tc>
              <w:tc>
                <w:tcPr>
                  <w:tcW w:w="1809" w:type="dxa"/>
                </w:tcPr>
                <w:p>
                  <w:pPr>
                    <w:rPr>
                      <w:szCs w:val="21"/>
                    </w:rPr>
                  </w:pPr>
                  <w:r>
                    <w:rPr>
                      <w:rFonts w:hint="eastAsia"/>
                    </w:rPr>
                    <w:sym w:font="Wingdings" w:char="00FE"/>
                  </w:r>
                  <w:r>
                    <w:rPr>
                      <w:rFonts w:hint="eastAsia"/>
                      <w:szCs w:val="21"/>
                    </w:rPr>
                    <w:t xml:space="preserve">控制有效   </w:t>
                  </w:r>
                </w:p>
                <w:p>
                  <w:pPr>
                    <w:rPr>
                      <w:szCs w:val="21"/>
                    </w:rPr>
                  </w:pPr>
                  <w:r>
                    <w:rPr>
                      <w:rFonts w:hint="eastAsia"/>
                      <w:szCs w:val="21"/>
                    </w:rPr>
                    <w:sym w:font="Wingdings" w:char="00A8"/>
                  </w:r>
                  <w:r>
                    <w:rPr>
                      <w:rFonts w:hint="eastAsia"/>
                      <w:szCs w:val="21"/>
                    </w:rPr>
                    <w:t>控制无效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5" w:type="dxa"/>
                </w:tcPr>
                <w:p>
                  <w:pPr>
                    <w:rPr>
                      <w:szCs w:val="21"/>
                    </w:rPr>
                  </w:pPr>
                  <w:r>
                    <w:rPr>
                      <w:rFonts w:hint="eastAsia"/>
                      <w:szCs w:val="21"/>
                    </w:rPr>
                    <w:t>组织确定的其他措施得以实施且有效</w:t>
                  </w:r>
                </w:p>
              </w:tc>
              <w:tc>
                <w:tcPr>
                  <w:tcW w:w="1387" w:type="dxa"/>
                </w:tcPr>
                <w:p>
                  <w:pPr>
                    <w:rPr>
                      <w:szCs w:val="21"/>
                    </w:rPr>
                  </w:pPr>
                  <w:r>
                    <w:rPr>
                      <w:rFonts w:hint="eastAsia"/>
                      <w:szCs w:val="21"/>
                    </w:rPr>
                    <w:t>——</w:t>
                  </w:r>
                </w:p>
              </w:tc>
              <w:tc>
                <w:tcPr>
                  <w:tcW w:w="2470" w:type="dxa"/>
                </w:tcPr>
                <w:p>
                  <w:pPr>
                    <w:rPr>
                      <w:szCs w:val="21"/>
                    </w:rPr>
                  </w:pPr>
                </w:p>
              </w:tc>
              <w:tc>
                <w:tcPr>
                  <w:tcW w:w="1382" w:type="dxa"/>
                </w:tcPr>
                <w:p>
                  <w:pPr>
                    <w:rPr>
                      <w:szCs w:val="21"/>
                    </w:rPr>
                  </w:pPr>
                </w:p>
              </w:tc>
              <w:tc>
                <w:tcPr>
                  <w:tcW w:w="1809" w:type="dxa"/>
                </w:tcPr>
                <w:p>
                  <w:pPr>
                    <w:rPr>
                      <w:szCs w:val="21"/>
                    </w:rPr>
                  </w:pPr>
                  <w:r>
                    <w:rPr>
                      <w:rFonts w:hint="eastAsia"/>
                    </w:rPr>
                    <w:sym w:font="Wingdings" w:char="00FE"/>
                  </w:r>
                  <w:r>
                    <w:rPr>
                      <w:rFonts w:hint="eastAsia"/>
                      <w:szCs w:val="21"/>
                    </w:rPr>
                    <w:t xml:space="preserve">控制有效   </w:t>
                  </w:r>
                </w:p>
                <w:p>
                  <w:pPr>
                    <w:rPr>
                      <w:szCs w:val="21"/>
                    </w:rPr>
                  </w:pPr>
                  <w:r>
                    <w:rPr>
                      <w:rFonts w:hint="eastAsia"/>
                      <w:szCs w:val="21"/>
                    </w:rPr>
                    <w:sym w:font="Wingdings" w:char="00A8"/>
                  </w:r>
                  <w:r>
                    <w:rPr>
                      <w:rFonts w:hint="eastAsia"/>
                      <w:szCs w:val="21"/>
                    </w:rPr>
                    <w:t>控制无效</w:t>
                  </w:r>
                </w:p>
              </w:tc>
            </w:tr>
          </w:tbl>
          <w:p>
            <w:pPr>
              <w:rPr>
                <w:highlight w:val="cyan"/>
              </w:rPr>
            </w:pPr>
            <w:r>
              <w:t>组织应确保验证活动不是由负责同一活动监控的人员进行的。</w:t>
            </w:r>
            <w:r>
              <w:rPr/>
              <w:sym w:font="Wingdings" w:char="00FE"/>
            </w:r>
            <w:r>
              <w:t xml:space="preserve">是   </w:t>
            </w:r>
            <w:r>
              <w:rPr/>
              <w:sym w:font="Wingdings" w:char="00A8"/>
            </w:r>
            <w:r>
              <w:t>否</w:t>
            </w:r>
          </w:p>
          <w:p/>
          <w:p>
            <w:pPr>
              <w:rPr>
                <w:color w:val="000000" w:themeColor="text1"/>
                <w:u w:val="single"/>
                <w14:textFill>
                  <w14:solidFill>
                    <w14:schemeClr w14:val="tx1"/>
                  </w14:solidFill>
                </w14:textFill>
              </w:rPr>
            </w:pPr>
            <w:r>
              <w:rPr>
                <w:u w:val="single"/>
              </w:rPr>
              <w:t>见《验证报告》和《检验报告》</w:t>
            </w:r>
          </w:p>
          <w:p>
            <w:pPr>
              <w:rPr>
                <w:u w:val="single"/>
              </w:rPr>
            </w:pPr>
            <w:r>
              <w:rPr>
                <w:color w:val="000000" w:themeColor="text1"/>
                <w14:textFill>
                  <w14:solidFill>
                    <w14:schemeClr w14:val="tx1"/>
                  </w14:solidFill>
                </w14:textFill>
              </w:rPr>
              <w:t>抽取作业环境（人员、空气、工器具、接触面等）检验相关记录名称：</w:t>
            </w:r>
            <w:r>
              <w:rPr>
                <w:color w:val="000000" w:themeColor="text1"/>
                <w:u w:val="single"/>
                <w14:textFill>
                  <w14:solidFill>
                    <w14:schemeClr w14:val="tx1"/>
                  </w14:solidFill>
                </w14:textFill>
              </w:rPr>
              <w:t xml:space="preserve">《 </w:t>
            </w:r>
            <w:r>
              <w:rPr>
                <w:rFonts w:hint="eastAsia"/>
                <w:color w:val="000000" w:themeColor="text1"/>
                <w:u w:val="single"/>
                <w14:textFill>
                  <w14:solidFill>
                    <w14:schemeClr w14:val="tx1"/>
                  </w14:solidFill>
                </w14:textFill>
              </w:rPr>
              <w:t>见</w:t>
            </w:r>
            <w:bookmarkStart w:id="0" w:name="_GoBack"/>
            <w:bookmarkEnd w:id="0"/>
            <w:r>
              <w:rPr>
                <w:rFonts w:hint="eastAsia"/>
                <w:color w:val="000000" w:themeColor="text1"/>
                <w:u w:val="single"/>
                <w:lang w:eastAsia="zh-CN"/>
                <w14:textFill>
                  <w14:solidFill>
                    <w14:schemeClr w14:val="tx1"/>
                  </w14:solidFill>
                </w14:textFill>
              </w:rPr>
              <w:t>品管部</w:t>
            </w:r>
            <w:r>
              <w:rPr>
                <w:rFonts w:hint="eastAsia"/>
                <w:color w:val="000000" w:themeColor="text1"/>
                <w:u w:val="single"/>
                <w14:textFill>
                  <w14:solidFill>
                    <w14:schemeClr w14:val="tx1"/>
                  </w14:solidFill>
                </w14:textFill>
              </w:rPr>
              <w:t>审核记录</w:t>
            </w:r>
            <w:r>
              <w:rPr>
                <w:color w:val="000000" w:themeColor="text1"/>
                <w:u w:val="single"/>
                <w14:textFill>
                  <w14:solidFill>
                    <w14:schemeClr w14:val="tx1"/>
                  </w14:solidFill>
                </w14:textFill>
              </w:rPr>
              <w:t xml:space="preserve">   </w:t>
            </w:r>
            <w:r>
              <w:rPr>
                <w:u w:val="single"/>
              </w:rPr>
              <w:t>》</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620"/>
              <w:gridCol w:w="1364"/>
              <w:gridCol w:w="1680"/>
              <w:gridCol w:w="1566"/>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r>
                    <w:t>日期</w:t>
                  </w:r>
                </w:p>
              </w:tc>
              <w:tc>
                <w:tcPr>
                  <w:tcW w:w="1620" w:type="dxa"/>
                </w:tcPr>
                <w:p>
                  <w:r>
                    <w:t>样品名称</w:t>
                  </w:r>
                </w:p>
              </w:tc>
              <w:tc>
                <w:tcPr>
                  <w:tcW w:w="1364" w:type="dxa"/>
                </w:tcPr>
                <w:p>
                  <w:r>
                    <w:t>抽样比例</w:t>
                  </w:r>
                </w:p>
              </w:tc>
              <w:tc>
                <w:tcPr>
                  <w:tcW w:w="1680" w:type="dxa"/>
                </w:tcPr>
                <w:p>
                  <w:r>
                    <w:rPr>
                      <w:b/>
                      <w:bCs/>
                    </w:rPr>
                    <w:t>关键特性</w:t>
                  </w:r>
                  <w:r>
                    <w:t>要求</w:t>
                  </w:r>
                </w:p>
              </w:tc>
              <w:tc>
                <w:tcPr>
                  <w:tcW w:w="1566" w:type="dxa"/>
                </w:tcPr>
                <w:p>
                  <w:r>
                    <w:t>实测结果</w:t>
                  </w:r>
                </w:p>
              </w:tc>
              <w:tc>
                <w:tcPr>
                  <w:tcW w:w="2046" w:type="dxa"/>
                </w:tcPr>
                <w:p>
                  <w:r>
                    <w:t>验证结论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r>
                    <w:t>——</w:t>
                  </w:r>
                </w:p>
              </w:tc>
              <w:tc>
                <w:tcPr>
                  <w:tcW w:w="1620" w:type="dxa"/>
                </w:tcPr>
                <w:p/>
              </w:tc>
              <w:tc>
                <w:tcPr>
                  <w:tcW w:w="1364" w:type="dxa"/>
                </w:tcPr>
                <w:p/>
              </w:tc>
              <w:tc>
                <w:tcPr>
                  <w:tcW w:w="1680" w:type="dxa"/>
                </w:tcPr>
                <w:p/>
              </w:tc>
              <w:tc>
                <w:tcPr>
                  <w:tcW w:w="1566" w:type="dxa"/>
                </w:tcPr>
                <w:p/>
              </w:tc>
              <w:tc>
                <w:tcPr>
                  <w:tcW w:w="2046" w:type="dxa"/>
                </w:tcPr>
                <w:p>
                  <w:r>
                    <w:rPr>
                      <w:szCs w:val="21"/>
                    </w:rPr>
                    <w:t>□</w:t>
                  </w:r>
                  <w:r>
                    <w:t xml:space="preserve">合格 </w:t>
                  </w:r>
                  <w:r>
                    <w:rPr>
                      <w:szCs w:val="21"/>
                    </w:rPr>
                    <w:t>□</w:t>
                  </w:r>
                  <w: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 w:type="dxa"/>
                </w:tcPr>
                <w:p>
                  <w:r>
                    <w:t>——</w:t>
                  </w:r>
                </w:p>
              </w:tc>
              <w:tc>
                <w:tcPr>
                  <w:tcW w:w="1620" w:type="dxa"/>
                </w:tcPr>
                <w:p/>
              </w:tc>
              <w:tc>
                <w:tcPr>
                  <w:tcW w:w="1364" w:type="dxa"/>
                </w:tcPr>
                <w:p/>
              </w:tc>
              <w:tc>
                <w:tcPr>
                  <w:tcW w:w="1680" w:type="dxa"/>
                </w:tcPr>
                <w:p/>
              </w:tc>
              <w:tc>
                <w:tcPr>
                  <w:tcW w:w="1566" w:type="dxa"/>
                </w:tcPr>
                <w:p/>
              </w:tc>
              <w:tc>
                <w:tcPr>
                  <w:tcW w:w="2046" w:type="dxa"/>
                </w:tcPr>
                <w:p/>
              </w:tc>
            </w:tr>
          </w:tbl>
          <w:p/>
          <w:p>
            <w:pPr>
              <w:rPr>
                <w:u w:val="single"/>
              </w:rPr>
            </w:pPr>
            <w:r>
              <w:t>抽取生产用水、蒸汽、冰</w:t>
            </w:r>
            <w:r>
              <w:rPr>
                <w:b/>
                <w:bCs/>
              </w:rPr>
              <w:t>检验</w:t>
            </w:r>
            <w:r>
              <w:t>相关记录名称：</w:t>
            </w:r>
            <w:r>
              <w:rPr>
                <w:u w:val="single"/>
              </w:rPr>
              <w:t xml:space="preserve">《 </w:t>
            </w:r>
            <w:r>
              <w:rPr>
                <w:rFonts w:hint="eastAsia"/>
                <w:color w:val="000000" w:themeColor="text1"/>
                <w:u w:val="single"/>
                <w14:textFill>
                  <w14:solidFill>
                    <w14:schemeClr w14:val="tx1"/>
                  </w14:solidFill>
                </w14:textFill>
              </w:rPr>
              <w:t>见</w:t>
            </w:r>
            <w:r>
              <w:rPr>
                <w:rFonts w:hint="eastAsia"/>
                <w:color w:val="000000" w:themeColor="text1"/>
                <w:u w:val="single"/>
                <w:lang w:eastAsia="zh-CN"/>
                <w14:textFill>
                  <w14:solidFill>
                    <w14:schemeClr w14:val="tx1"/>
                  </w14:solidFill>
                </w14:textFill>
              </w:rPr>
              <w:t>品管部</w:t>
            </w:r>
            <w:r>
              <w:rPr>
                <w:rFonts w:hint="eastAsia"/>
                <w:color w:val="000000" w:themeColor="text1"/>
                <w:u w:val="single"/>
                <w14:textFill>
                  <w14:solidFill>
                    <w14:schemeClr w14:val="tx1"/>
                  </w14:solidFill>
                </w14:textFill>
              </w:rPr>
              <w:t>审核记录</w:t>
            </w:r>
            <w:r>
              <w:rPr>
                <w:color w:val="000000" w:themeColor="text1"/>
                <w:u w:val="single"/>
                <w14:textFill>
                  <w14:solidFill>
                    <w14:schemeClr w14:val="tx1"/>
                  </w14:solidFill>
                </w14:textFill>
              </w:rPr>
              <w:t xml:space="preserve">  </w:t>
            </w:r>
            <w:r>
              <w:rPr>
                <w:u w:val="single"/>
              </w:rPr>
              <w:t>》</w:t>
            </w:r>
          </w:p>
          <w:tbl>
            <w:tblPr>
              <w:tblStyle w:val="13"/>
              <w:tblW w:w="90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1714"/>
              <w:gridCol w:w="1202"/>
              <w:gridCol w:w="1952"/>
              <w:gridCol w:w="2138"/>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6" w:type="dxa"/>
                </w:tcPr>
                <w:p>
                  <w:pPr>
                    <w:rPr>
                      <w:sz w:val="18"/>
                      <w:szCs w:val="18"/>
                    </w:rPr>
                  </w:pPr>
                  <w:r>
                    <w:rPr>
                      <w:sz w:val="18"/>
                      <w:szCs w:val="18"/>
                    </w:rPr>
                    <w:t>日期</w:t>
                  </w:r>
                </w:p>
              </w:tc>
              <w:tc>
                <w:tcPr>
                  <w:tcW w:w="1714" w:type="dxa"/>
                </w:tcPr>
                <w:p>
                  <w:pPr>
                    <w:rPr>
                      <w:sz w:val="18"/>
                      <w:szCs w:val="18"/>
                    </w:rPr>
                  </w:pPr>
                  <w:r>
                    <w:rPr>
                      <w:sz w:val="18"/>
                      <w:szCs w:val="18"/>
                    </w:rPr>
                    <w:t>成品名称/批次</w:t>
                  </w:r>
                </w:p>
              </w:tc>
              <w:tc>
                <w:tcPr>
                  <w:tcW w:w="1202" w:type="dxa"/>
                </w:tcPr>
                <w:p>
                  <w:pPr>
                    <w:rPr>
                      <w:sz w:val="18"/>
                      <w:szCs w:val="18"/>
                    </w:rPr>
                  </w:pPr>
                  <w:r>
                    <w:rPr>
                      <w:sz w:val="18"/>
                      <w:szCs w:val="18"/>
                    </w:rPr>
                    <w:t>抽样比例</w:t>
                  </w:r>
                </w:p>
              </w:tc>
              <w:tc>
                <w:tcPr>
                  <w:tcW w:w="1952" w:type="dxa"/>
                </w:tcPr>
                <w:p>
                  <w:pPr>
                    <w:rPr>
                      <w:sz w:val="18"/>
                      <w:szCs w:val="18"/>
                    </w:rPr>
                  </w:pPr>
                  <w:r>
                    <w:rPr>
                      <w:b/>
                      <w:bCs/>
                      <w:sz w:val="18"/>
                      <w:szCs w:val="18"/>
                    </w:rPr>
                    <w:t>关键特性</w:t>
                  </w:r>
                  <w:r>
                    <w:rPr>
                      <w:sz w:val="18"/>
                      <w:szCs w:val="18"/>
                    </w:rPr>
                    <w:t>要求</w:t>
                  </w:r>
                </w:p>
              </w:tc>
              <w:tc>
                <w:tcPr>
                  <w:tcW w:w="2138" w:type="dxa"/>
                </w:tcPr>
                <w:p>
                  <w:pPr>
                    <w:rPr>
                      <w:sz w:val="18"/>
                      <w:szCs w:val="18"/>
                    </w:rPr>
                  </w:pPr>
                  <w:r>
                    <w:rPr>
                      <w:sz w:val="18"/>
                      <w:szCs w:val="18"/>
                    </w:rPr>
                    <w:t>实测结果</w:t>
                  </w:r>
                </w:p>
              </w:tc>
              <w:tc>
                <w:tcPr>
                  <w:tcW w:w="961" w:type="dxa"/>
                </w:tcPr>
                <w:p>
                  <w:pPr>
                    <w:rPr>
                      <w:sz w:val="18"/>
                      <w:szCs w:val="18"/>
                    </w:rPr>
                  </w:pPr>
                  <w:r>
                    <w:rPr>
                      <w:sz w:val="18"/>
                      <w:szCs w:val="18"/>
                    </w:rPr>
                    <w:t>验证结论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6" w:type="dxa"/>
                </w:tcPr>
                <w:p>
                  <w:pPr>
                    <w:rPr>
                      <w:sz w:val="18"/>
                      <w:szCs w:val="18"/>
                    </w:rPr>
                  </w:pPr>
                  <w:r>
                    <w:rPr>
                      <w:rFonts w:hint="eastAsia"/>
                      <w:sz w:val="18"/>
                      <w:szCs w:val="18"/>
                    </w:rPr>
                    <w:t>——</w:t>
                  </w:r>
                </w:p>
              </w:tc>
              <w:tc>
                <w:tcPr>
                  <w:tcW w:w="1714" w:type="dxa"/>
                </w:tcPr>
                <w:p>
                  <w:pPr>
                    <w:rPr>
                      <w:sz w:val="18"/>
                      <w:szCs w:val="18"/>
                    </w:rPr>
                  </w:pPr>
                </w:p>
              </w:tc>
              <w:tc>
                <w:tcPr>
                  <w:tcW w:w="1202" w:type="dxa"/>
                </w:tcPr>
                <w:p>
                  <w:pPr>
                    <w:rPr>
                      <w:sz w:val="18"/>
                      <w:szCs w:val="18"/>
                    </w:rPr>
                  </w:pPr>
                </w:p>
              </w:tc>
              <w:tc>
                <w:tcPr>
                  <w:tcW w:w="1952" w:type="dxa"/>
                </w:tcPr>
                <w:p>
                  <w:pPr>
                    <w:rPr>
                      <w:sz w:val="18"/>
                      <w:szCs w:val="18"/>
                    </w:rPr>
                  </w:pPr>
                </w:p>
              </w:tc>
              <w:tc>
                <w:tcPr>
                  <w:tcW w:w="2138" w:type="dxa"/>
                </w:tcPr>
                <w:p>
                  <w:pPr>
                    <w:rPr>
                      <w:sz w:val="18"/>
                      <w:szCs w:val="18"/>
                    </w:rPr>
                  </w:pPr>
                </w:p>
              </w:tc>
              <w:tc>
                <w:tcPr>
                  <w:tcW w:w="961" w:type="dxa"/>
                </w:tcPr>
                <w:p>
                  <w:pPr>
                    <w:rPr>
                      <w:sz w:val="18"/>
                      <w:szCs w:val="18"/>
                    </w:rPr>
                  </w:pPr>
                  <w:r>
                    <w:rPr/>
                    <w:sym w:font="Wingdings" w:char="00A8"/>
                  </w:r>
                  <w:r>
                    <w:rPr>
                      <w:sz w:val="18"/>
                      <w:szCs w:val="18"/>
                    </w:rPr>
                    <w:t xml:space="preserve">合格 </w:t>
                  </w:r>
                </w:p>
                <w:p>
                  <w:pPr>
                    <w:rPr>
                      <w:sz w:val="18"/>
                      <w:szCs w:val="18"/>
                    </w:rPr>
                  </w:pPr>
                  <w:r>
                    <w:rPr>
                      <w:sz w:val="18"/>
                      <w:szCs w:val="18"/>
                    </w:rPr>
                    <w:t>□不合格</w:t>
                  </w:r>
                </w:p>
              </w:tc>
            </w:tr>
          </w:tbl>
          <w:p/>
          <w:p>
            <w:r>
              <w:rPr>
                <w:szCs w:val="21"/>
              </w:rPr>
              <w:t>当体系验证是基于终产品的测试，且测试的样品不符合食品安全危害的可接受水平时，受影响批次的产品应按照潜在不安全产品处置。</w:t>
            </w:r>
            <w:r>
              <w:rPr>
                <w:b/>
                <w:bCs/>
                <w:szCs w:val="21"/>
                <w:u w:val="single"/>
              </w:rPr>
              <w:t>未发现不安全产品</w:t>
            </w:r>
          </w:p>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86" w:hRule="atLeast"/>
        </w:trPr>
        <w:tc>
          <w:tcPr>
            <w:tcW w:w="2174" w:type="dxa"/>
            <w:vMerge w:val="restart"/>
            <w:shd w:val="clear" w:color="auto" w:fill="auto"/>
          </w:tcPr>
          <w:p>
            <w:r>
              <w:t>验证活动结果的分析</w:t>
            </w:r>
          </w:p>
        </w:tc>
        <w:tc>
          <w:tcPr>
            <w:tcW w:w="936" w:type="dxa"/>
            <w:gridSpan w:val="2"/>
            <w:vMerge w:val="restart"/>
            <w:shd w:val="clear" w:color="auto" w:fill="auto"/>
          </w:tcPr>
          <w:p>
            <w:r>
              <w:t>F8.8.2</w:t>
            </w:r>
          </w:p>
          <w:p/>
        </w:tc>
        <w:tc>
          <w:tcPr>
            <w:tcW w:w="745" w:type="dxa"/>
            <w:shd w:val="clear" w:color="auto" w:fill="auto"/>
          </w:tcPr>
          <w:p>
            <w:r>
              <w:t>文件名称</w:t>
            </w:r>
          </w:p>
        </w:tc>
        <w:tc>
          <w:tcPr>
            <w:tcW w:w="9523" w:type="dxa"/>
            <w:shd w:val="clear" w:color="auto" w:fill="auto"/>
          </w:tcPr>
          <w:p>
            <w:r>
              <w:t xml:space="preserve">如： </w:t>
            </w:r>
            <w:r>
              <w:rPr/>
              <w:sym w:font="Wingdings" w:char="00A8"/>
            </w:r>
            <w:r>
              <w:t xml:space="preserve">《验证和确认控制程序》 </w:t>
            </w:r>
            <w:r>
              <w:rPr/>
              <w:sym w:font="Wingdings" w:char="00FE"/>
            </w:r>
            <w:r>
              <w:t>《</w:t>
            </w:r>
            <w:r>
              <w:rPr>
                <w:rFonts w:hint="eastAsia"/>
                <w:szCs w:val="21"/>
              </w:rPr>
              <w:t>食品安全管理体系确认验证程序</w:t>
            </w:r>
            <w:r>
              <w:rPr>
                <w:sz w:val="18"/>
                <w:szCs w:val="18"/>
              </w:rPr>
              <w:t>》</w:t>
            </w:r>
            <w:r>
              <w:rPr>
                <w:rFonts w:hint="eastAsia"/>
                <w:sz w:val="18"/>
                <w:szCs w:val="18"/>
              </w:rPr>
              <w:t xml:space="preserve"> </w:t>
            </w:r>
            <w:r>
              <w:t xml:space="preserve"> </w:t>
            </w:r>
            <w:r>
              <w:rPr/>
              <w:sym w:font="Wingdings" w:char="00A8"/>
            </w:r>
            <w:r>
              <w:rPr>
                <w:rFonts w:hint="eastAsia"/>
                <w:sz w:val="18"/>
                <w:szCs w:val="18"/>
              </w:rPr>
              <w:t>《验证程序》</w:t>
            </w:r>
          </w:p>
        </w:tc>
        <w:tc>
          <w:tcPr>
            <w:tcW w:w="1290" w:type="dxa"/>
            <w:vMerge w:val="restart"/>
            <w:shd w:val="clear" w:color="auto" w:fill="auto"/>
          </w:tcPr>
          <w:p>
            <w:r>
              <w:rPr/>
              <w:sym w:font="Wingdings" w:char="00FE"/>
            </w:r>
            <w:r>
              <w:t>符合</w:t>
            </w:r>
          </w:p>
          <w:p>
            <w:r>
              <w:rPr/>
              <w:sym w:font="Wingdings" w:char="00A8"/>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90" w:hRule="atLeast"/>
        </w:trPr>
        <w:tc>
          <w:tcPr>
            <w:tcW w:w="2174" w:type="dxa"/>
            <w:vMerge w:val="continue"/>
            <w:shd w:val="clear" w:color="auto" w:fill="auto"/>
          </w:tcPr>
          <w:p/>
        </w:tc>
        <w:tc>
          <w:tcPr>
            <w:tcW w:w="936" w:type="dxa"/>
            <w:gridSpan w:val="2"/>
            <w:vMerge w:val="continue"/>
            <w:shd w:val="clear" w:color="auto" w:fill="auto"/>
          </w:tcPr>
          <w:p/>
        </w:tc>
        <w:tc>
          <w:tcPr>
            <w:tcW w:w="745" w:type="dxa"/>
            <w:shd w:val="clear" w:color="auto" w:fill="auto"/>
          </w:tcPr>
          <w:p>
            <w:r>
              <w:t>运行证据</w:t>
            </w:r>
          </w:p>
        </w:tc>
        <w:tc>
          <w:tcPr>
            <w:tcW w:w="9523" w:type="dxa"/>
            <w:shd w:val="clear" w:color="auto" w:fill="auto"/>
          </w:tcPr>
          <w:p>
            <w:r>
              <w:t>食品安全小组对验证结果进行分析，并将其作为食品安全管理体系绩效评估的输入</w:t>
            </w:r>
          </w:p>
          <w:p/>
          <w:p>
            <w:pPr>
              <w:adjustRightInd w:val="0"/>
              <w:snapToGrid w:val="0"/>
              <w:spacing w:line="240" w:lineRule="atLeast"/>
              <w:ind w:firstLine="211" w:firstLineChars="100"/>
              <w:rPr>
                <w:rFonts w:ascii="宋体" w:hAnsi="宋体"/>
                <w:b/>
                <w:bCs/>
                <w:szCs w:val="21"/>
                <w:u w:val="single"/>
              </w:rPr>
            </w:pPr>
            <w:r>
              <w:rPr>
                <w:rFonts w:hint="eastAsia" w:ascii="宋体" w:hAnsi="宋体"/>
                <w:b/>
                <w:bCs/>
                <w:szCs w:val="21"/>
                <w:u w:val="single"/>
              </w:rPr>
              <w:t>有《PRP现场验证记录》，202</w:t>
            </w:r>
            <w:r>
              <w:rPr>
                <w:rFonts w:ascii="宋体" w:hAnsi="宋体"/>
                <w:b/>
                <w:bCs/>
                <w:szCs w:val="21"/>
                <w:u w:val="single"/>
              </w:rPr>
              <w:t>2</w:t>
            </w:r>
            <w:r>
              <w:rPr>
                <w:rFonts w:hint="eastAsia" w:ascii="宋体" w:hAnsi="宋体"/>
                <w:b/>
                <w:bCs/>
                <w:szCs w:val="21"/>
                <w:u w:val="single"/>
              </w:rPr>
              <w:t>年1月</w:t>
            </w:r>
            <w:r>
              <w:rPr>
                <w:rFonts w:ascii="宋体" w:hAnsi="宋体"/>
                <w:b/>
                <w:bCs/>
                <w:szCs w:val="21"/>
                <w:u w:val="single"/>
              </w:rPr>
              <w:t>15</w:t>
            </w:r>
            <w:r>
              <w:rPr>
                <w:rFonts w:hint="eastAsia" w:ascii="宋体" w:hAnsi="宋体"/>
                <w:b/>
                <w:bCs/>
                <w:szCs w:val="21"/>
                <w:u w:val="single"/>
              </w:rPr>
              <w:t>日，结论：控制有效</w:t>
            </w:r>
          </w:p>
          <w:p>
            <w:pPr>
              <w:adjustRightInd w:val="0"/>
              <w:snapToGrid w:val="0"/>
              <w:spacing w:line="240" w:lineRule="atLeast"/>
              <w:ind w:firstLine="422" w:firstLineChars="200"/>
              <w:rPr>
                <w:rFonts w:ascii="宋体" w:hAnsi="宋体"/>
                <w:b/>
                <w:bCs/>
                <w:szCs w:val="21"/>
                <w:u w:val="single"/>
              </w:rPr>
            </w:pPr>
            <w:r>
              <w:rPr>
                <w:rFonts w:hint="eastAsia" w:ascii="宋体" w:hAnsi="宋体"/>
                <w:b/>
                <w:bCs/>
                <w:szCs w:val="21"/>
                <w:u w:val="single"/>
              </w:rPr>
              <w:t>《控制措施组合的确认报告》，202</w:t>
            </w:r>
            <w:r>
              <w:rPr>
                <w:rFonts w:ascii="宋体" w:hAnsi="宋体"/>
                <w:b/>
                <w:bCs/>
                <w:szCs w:val="21"/>
                <w:u w:val="single"/>
              </w:rPr>
              <w:t>2</w:t>
            </w:r>
            <w:r>
              <w:rPr>
                <w:rFonts w:hint="eastAsia" w:ascii="宋体" w:hAnsi="宋体"/>
                <w:b/>
                <w:bCs/>
                <w:szCs w:val="21"/>
                <w:u w:val="single"/>
              </w:rPr>
              <w:t>年1月20日，结论：控制有效</w:t>
            </w:r>
          </w:p>
          <w:p>
            <w:pPr>
              <w:adjustRightInd w:val="0"/>
              <w:snapToGrid w:val="0"/>
              <w:spacing w:line="240" w:lineRule="atLeast"/>
              <w:ind w:firstLine="422" w:firstLineChars="200"/>
              <w:rPr>
                <w:rFonts w:ascii="宋体" w:hAnsi="宋体"/>
                <w:b/>
                <w:bCs/>
                <w:szCs w:val="21"/>
                <w:u w:val="single"/>
              </w:rPr>
            </w:pPr>
            <w:r>
              <w:rPr>
                <w:rFonts w:hint="eastAsia" w:ascii="宋体" w:hAnsi="宋体"/>
                <w:b/>
                <w:bCs/>
                <w:szCs w:val="21"/>
                <w:u w:val="single"/>
              </w:rPr>
              <w:t>《HACCP体系验证报告》，202</w:t>
            </w:r>
            <w:r>
              <w:rPr>
                <w:rFonts w:ascii="宋体" w:hAnsi="宋体"/>
                <w:b/>
                <w:bCs/>
                <w:szCs w:val="21"/>
                <w:u w:val="single"/>
              </w:rPr>
              <w:t>2</w:t>
            </w:r>
            <w:r>
              <w:rPr>
                <w:rFonts w:hint="eastAsia" w:ascii="宋体" w:hAnsi="宋体"/>
                <w:b/>
                <w:bCs/>
                <w:szCs w:val="21"/>
                <w:u w:val="single"/>
              </w:rPr>
              <w:t>年</w:t>
            </w:r>
            <w:r>
              <w:rPr>
                <w:rFonts w:ascii="宋体" w:hAnsi="宋体"/>
                <w:b/>
                <w:bCs/>
                <w:szCs w:val="21"/>
                <w:u w:val="single"/>
              </w:rPr>
              <w:t>3</w:t>
            </w:r>
            <w:r>
              <w:rPr>
                <w:rFonts w:hint="eastAsia" w:ascii="宋体" w:hAnsi="宋体"/>
                <w:b/>
                <w:bCs/>
                <w:szCs w:val="21"/>
                <w:u w:val="single"/>
              </w:rPr>
              <w:t>月</w:t>
            </w:r>
            <w:r>
              <w:rPr>
                <w:rFonts w:ascii="宋体" w:hAnsi="宋体"/>
                <w:b/>
                <w:bCs/>
                <w:szCs w:val="21"/>
                <w:u w:val="single"/>
              </w:rPr>
              <w:t>3</w:t>
            </w:r>
            <w:r>
              <w:rPr>
                <w:rFonts w:hint="eastAsia" w:ascii="宋体" w:hAnsi="宋体"/>
                <w:b/>
                <w:bCs/>
                <w:szCs w:val="21"/>
                <w:u w:val="single"/>
              </w:rPr>
              <w:t>0日，结论：控制有效</w:t>
            </w:r>
          </w:p>
          <w:p>
            <w:pPr>
              <w:adjustRightInd w:val="0"/>
              <w:snapToGrid w:val="0"/>
              <w:spacing w:line="240" w:lineRule="atLeast"/>
              <w:ind w:firstLine="210" w:firstLineChars="100"/>
            </w:pPr>
          </w:p>
        </w:tc>
        <w:tc>
          <w:tcPr>
            <w:tcW w:w="1290" w:type="dxa"/>
            <w:vMerge w:val="continue"/>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486" w:hRule="atLeast"/>
        </w:trPr>
        <w:tc>
          <w:tcPr>
            <w:tcW w:w="2174" w:type="dxa"/>
            <w:vMerge w:val="restart"/>
          </w:tcPr>
          <w:p>
            <w:r>
              <w:t>分析与评价</w:t>
            </w:r>
          </w:p>
        </w:tc>
        <w:tc>
          <w:tcPr>
            <w:tcW w:w="936" w:type="dxa"/>
            <w:gridSpan w:val="2"/>
            <w:vMerge w:val="restart"/>
          </w:tcPr>
          <w:p>
            <w:r>
              <w:t>F9.1.2</w:t>
            </w:r>
          </w:p>
        </w:tc>
        <w:tc>
          <w:tcPr>
            <w:tcW w:w="745" w:type="dxa"/>
          </w:tcPr>
          <w:p>
            <w:r>
              <w:t>文件名称</w:t>
            </w:r>
          </w:p>
        </w:tc>
        <w:tc>
          <w:tcPr>
            <w:tcW w:w="9523" w:type="dxa"/>
          </w:tcPr>
          <w:p>
            <w:r>
              <w:t>如：</w:t>
            </w:r>
            <w:r>
              <w:rPr/>
              <w:sym w:font="Wingdings" w:char="00A8"/>
            </w:r>
            <w:r>
              <w:t>《产品监视和测量控制程序》</w:t>
            </w:r>
            <w:r>
              <w:rPr>
                <w:rFonts w:ascii="Segoe Print" w:hAnsi="Segoe Print" w:cs="Segoe Print"/>
              </w:rPr>
              <w:t xml:space="preserve"> </w:t>
            </w:r>
            <w:r>
              <w:rPr>
                <w:rFonts w:ascii="Segoe Print" w:hAnsi="Segoe Print" w:cs="Segoe Print"/>
                <w:color w:val="000000"/>
                <w:szCs w:val="21"/>
              </w:rPr>
              <w:t>☑</w:t>
            </w:r>
            <w:r>
              <w:rPr>
                <w:rFonts w:ascii="Segoe Print" w:hAnsi="Segoe Print" w:cs="Segoe Print"/>
              </w:rPr>
              <w:t xml:space="preserve"> </w:t>
            </w:r>
            <w:r>
              <w:rPr>
                <w:rFonts w:hint="eastAsia"/>
              </w:rPr>
              <w:t>《产品的监视与测量控制程序》</w:t>
            </w:r>
          </w:p>
        </w:tc>
        <w:tc>
          <w:tcPr>
            <w:tcW w:w="1290" w:type="dxa"/>
            <w:vMerge w:val="restart"/>
          </w:tcPr>
          <w:p>
            <w:r>
              <w:rPr/>
              <w:sym w:font="Wingdings" w:char="00FE"/>
            </w:r>
            <w:r>
              <w:t>符合</w:t>
            </w:r>
          </w:p>
          <w:p>
            <w:r>
              <w:rPr/>
              <w:sym w:font="Wingdings" w:char="00A8"/>
            </w:r>
            <w:r>
              <w:t>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 w:type="dxa"/>
          <w:trHeight w:val="1590" w:hRule="atLeast"/>
        </w:trPr>
        <w:tc>
          <w:tcPr>
            <w:tcW w:w="2174" w:type="dxa"/>
            <w:vMerge w:val="continue"/>
          </w:tcPr>
          <w:p/>
        </w:tc>
        <w:tc>
          <w:tcPr>
            <w:tcW w:w="936" w:type="dxa"/>
            <w:gridSpan w:val="2"/>
            <w:vMerge w:val="continue"/>
          </w:tcPr>
          <w:p/>
        </w:tc>
        <w:tc>
          <w:tcPr>
            <w:tcW w:w="745" w:type="dxa"/>
          </w:tcPr>
          <w:p>
            <w:r>
              <w:t>运行证据</w:t>
            </w:r>
          </w:p>
        </w:tc>
        <w:tc>
          <w:tcPr>
            <w:tcW w:w="9523" w:type="dxa"/>
          </w:tcPr>
          <w:p>
            <w:r>
              <w:t>组织对下列监测和测量产生的适当数据和信息进行分析和评估，包括：</w:t>
            </w:r>
          </w:p>
          <w:p>
            <w:r>
              <w:t>☑</w:t>
            </w:r>
            <w:r>
              <w:rPr>
                <w:color w:val="000000"/>
                <w:szCs w:val="21"/>
              </w:rPr>
              <w:t xml:space="preserve"> </w:t>
            </w:r>
            <w:r>
              <w:t>与PRP验证的结果</w:t>
            </w:r>
          </w:p>
          <w:p>
            <w:r>
              <w:t>☑</w:t>
            </w:r>
            <w:r>
              <w:rPr>
                <w:color w:val="000000"/>
                <w:szCs w:val="21"/>
              </w:rPr>
              <w:t xml:space="preserve"> </w:t>
            </w:r>
            <w:r>
              <w:t>危害控制计划验证的结果</w:t>
            </w:r>
          </w:p>
          <w:p>
            <w:r>
              <w:t>☑</w:t>
            </w:r>
            <w:r>
              <w:rPr>
                <w:color w:val="000000"/>
                <w:szCs w:val="21"/>
              </w:rPr>
              <w:t xml:space="preserve"> </w:t>
            </w:r>
            <w:r>
              <w:t>内部审核验证的结果</w:t>
            </w:r>
          </w:p>
          <w:p>
            <w:r>
              <w:t>☑外部审核有关的验证的结果。</w:t>
            </w:r>
          </w:p>
          <w:p/>
          <w:p>
            <w:r>
              <w:t>分析数据的统计技术包括：</w:t>
            </w:r>
          </w:p>
          <w:p>
            <w:r>
              <w:rPr>
                <w:color w:val="000000"/>
                <w:szCs w:val="21"/>
              </w:rPr>
              <w:t>□因果图 □柱状图 □ 饼状图 □SPC图 □排列图</w:t>
            </w:r>
            <w:r>
              <w:t>☑</w:t>
            </w:r>
            <w:r>
              <w:rPr>
                <w:color w:val="000000"/>
                <w:szCs w:val="21"/>
              </w:rPr>
              <w:t>其他</w:t>
            </w:r>
          </w:p>
          <w:p/>
          <w:p>
            <w:r>
              <w:t>进行分析：</w:t>
            </w:r>
          </w:p>
          <w:p>
            <w:r>
              <w:t>☑确认系统的总体绩效满足 组织制定的计划安排和FSMS要求；</w:t>
            </w:r>
          </w:p>
          <w:p>
            <w:r>
              <w:t>☑ 确定更新或改进FSMS的必要性；</w:t>
            </w:r>
          </w:p>
          <w:p>
            <w:r>
              <w:t>☑ 识别潜在不安全产品或工艺故障发生率较高的趋势；</w:t>
            </w:r>
          </w:p>
          <w:p>
            <w:r>
              <w:t>☑ 建立与拟审核领域的现状和重要性有关的内部审核方案策划信息；</w:t>
            </w:r>
          </w:p>
          <w:p>
            <w:r>
              <w:t>☑ 提供纠正和纠正措施有效的证据。</w:t>
            </w:r>
          </w:p>
          <w:p/>
          <w:p>
            <w:r>
              <w:t>见《验证结果分析报告》</w:t>
            </w:r>
          </w:p>
        </w:tc>
        <w:tc>
          <w:tcPr>
            <w:tcW w:w="1290" w:type="dxa"/>
            <w:vMerge w:val="continue"/>
          </w:tcPr>
          <w:p/>
        </w:tc>
      </w:tr>
    </w:tbl>
    <w:p/>
    <w:p>
      <w:pPr>
        <w:pStyle w:val="7"/>
      </w:pPr>
      <w:r>
        <w:rPr>
          <w:rFonts w:hint="eastAsia"/>
        </w:rPr>
        <w:t>说明：不符合标注N</w:t>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w:panose1 w:val="020B0604020202020204"/>
    <w:charset w:val="00"/>
    <w:family w:val="swiss"/>
    <w:pitch w:val="default"/>
    <w:sig w:usb0="E0002EFF" w:usb1="C000785B" w:usb2="00000009" w:usb3="00000000" w:csb0="400001FF" w:csb1="FFFF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Wingdings 2">
    <w:panose1 w:val="050201020105070707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sdtPr>
    <w:sdtContent>
      <w:sdt>
        <w:sdtPr>
          <w:id w:val="171357217"/>
        </w:sdtPr>
        <w:sdtContent>
          <w:p>
            <w:pPr>
              <w:pStyle w:val="7"/>
              <w:jc w:val="center"/>
            </w:pP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sdtContent>
      </w:sdt>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tabs>
        <w:tab w:val="left" w:pos="8910"/>
        <w:tab w:val="left" w:pos="9142"/>
        <w:tab w:val="clear" w:pos="4153"/>
      </w:tabs>
      <w:spacing w:line="320" w:lineRule="exact"/>
      <w:ind w:left="-86" w:leftChars="-41" w:firstLine="990" w:firstLineChars="550"/>
      <w:jc w:val="left"/>
      <w:rPr>
        <w:rStyle w:val="19"/>
        <w:rFonts w:hint="default"/>
      </w:rPr>
    </w:pPr>
    <w:r>
      <w:drawing>
        <wp:anchor distT="0" distB="0" distL="114300" distR="114300" simplePos="0" relativeHeight="251660288" behindDoc="0" locked="0" layoutInCell="1" allowOverlap="1">
          <wp:simplePos x="0" y="0"/>
          <wp:positionH relativeFrom="margin">
            <wp:align>left</wp:align>
          </wp:positionH>
          <wp:positionV relativeFrom="paragraph">
            <wp:posOffset>6985</wp:posOffset>
          </wp:positionV>
          <wp:extent cx="481330" cy="484505"/>
          <wp:effectExtent l="0" t="0" r="0" b="0"/>
          <wp:wrapNone/>
          <wp:docPr id="3"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0" descr="新LOGO.png"/>
                  <pic:cNvPicPr>
                    <a:picLocks noChangeAspect="1"/>
                  </pic:cNvPicPr>
                </pic:nvPicPr>
                <pic:blipFill>
                  <a:blip r:embed="rId1"/>
                  <a:stretch>
                    <a:fillRect/>
                  </a:stretch>
                </pic:blipFill>
                <pic:spPr>
                  <a:xfrm>
                    <a:off x="0" y="0"/>
                    <a:ext cx="481330" cy="484505"/>
                  </a:xfrm>
                  <a:prstGeom prst="rect">
                    <a:avLst/>
                  </a:prstGeom>
                </pic:spPr>
              </pic:pic>
            </a:graphicData>
          </a:graphic>
        </wp:anchor>
      </w:drawing>
    </w:r>
    <w:r>
      <w:rPr>
        <w:rStyle w:val="19"/>
        <w:rFonts w:hint="default"/>
      </w:rPr>
      <w:t>北京国标联合认证有限公司</w:t>
    </w:r>
    <w:r>
      <w:rPr>
        <w:rStyle w:val="19"/>
        <w:rFonts w:hint="default"/>
      </w:rPr>
      <w:tab/>
    </w:r>
    <w:r>
      <w:rPr>
        <w:rStyle w:val="19"/>
        <w:rFonts w:hint="default"/>
      </w:rPr>
      <w:tab/>
    </w:r>
    <w:r>
      <w:rPr>
        <w:rStyle w:val="19"/>
        <w:rFonts w:hint="default"/>
      </w:rPr>
      <w:tab/>
    </w:r>
  </w:p>
  <w:p>
    <w:pPr>
      <w:pStyle w:val="8"/>
      <w:pBdr>
        <w:bottom w:val="none" w:color="auto" w:sz="0" w:space="1"/>
      </w:pBdr>
      <w:spacing w:line="320" w:lineRule="exact"/>
      <w:ind w:firstLine="900" w:firstLineChars="500"/>
      <w:jc w:val="left"/>
    </w:pPr>
    <w:r>
      <mc:AlternateContent>
        <mc:Choice Requires="wps">
          <w:drawing>
            <wp:anchor distT="0" distB="0" distL="114300" distR="114300" simplePos="0" relativeHeight="251659264" behindDoc="0" locked="0" layoutInCell="1" allowOverlap="1">
              <wp:simplePos x="0" y="0"/>
              <wp:positionH relativeFrom="column">
                <wp:posOffset>7045325</wp:posOffset>
              </wp:positionH>
              <wp:positionV relativeFrom="paragraph">
                <wp:posOffset>27940</wp:posOffset>
              </wp:positionV>
              <wp:extent cx="2184400" cy="256540"/>
              <wp:effectExtent l="0" t="0" r="0" b="10160"/>
              <wp:wrapNone/>
              <wp:docPr id="2" name="文本框 1"/>
              <wp:cNvGraphicFramePr/>
              <a:graphic xmlns:a="http://schemas.openxmlformats.org/drawingml/2006/main">
                <a:graphicData uri="http://schemas.microsoft.com/office/word/2010/wordprocessingShape">
                  <wps:wsp>
                    <wps:cNvSpPr txBox="1"/>
                    <wps:spPr>
                      <a:xfrm>
                        <a:off x="0" y="0"/>
                        <a:ext cx="2184400" cy="256540"/>
                      </a:xfrm>
                      <a:prstGeom prst="rect">
                        <a:avLst/>
                      </a:prstGeom>
                      <a:solidFill>
                        <a:srgbClr val="FFFFFF"/>
                      </a:solidFill>
                      <a:ln w="9525">
                        <a:noFill/>
                      </a:ln>
                      <a:effectLst/>
                    </wps:spPr>
                    <wps:txb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w:t>
                          </w:r>
                          <w:r>
                            <w:rPr>
                              <w:sz w:val="18"/>
                              <w:szCs w:val="18"/>
                            </w:rPr>
                            <w:t>0</w:t>
                          </w:r>
                          <w:r>
                            <w:rPr>
                              <w:rFonts w:hint="eastAsia"/>
                              <w:sz w:val="18"/>
                              <w:szCs w:val="18"/>
                            </w:rPr>
                            <w:t>管理体系审核记录表(03版)</w:t>
                          </w:r>
                        </w:p>
                      </w:txbxContent>
                    </wps:txbx>
                    <wps:bodyPr upright="1"/>
                  </wps:wsp>
                </a:graphicData>
              </a:graphic>
            </wp:anchor>
          </w:drawing>
        </mc:Choice>
        <mc:Fallback>
          <w:pict>
            <v:shape id="文本框 1" o:spid="_x0000_s1026" o:spt="202" type="#_x0000_t202" style="position:absolute;left:0pt;margin-left:554.75pt;margin-top:2.2pt;height:20.2pt;width:172pt;z-index:251659264;mso-width-relative:page;mso-height-relative:page;" fillcolor="#FFFFFF" filled="t" stroked="f" coordsize="21600,21600" o:gfxdata="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hBqrl1gAAAAoBAAAPAAAAAAAAAAEAIAAAACIAAABk&#10;cnMvZG93bnJldi54bWxQSwECFAAUAAAACACHTuJAekoO8M8BAACOAwAADgAAAAAAAAABACAAAAAl&#10;AQAAZHJzL2Uyb0RvYy54bWxQSwUGAAAAAAYABgBZAQAAZgUAAAAA&#10;">
              <v:fill on="t" focussize="0,0"/>
              <v:stroke on="f"/>
              <v:imagedata o:title=""/>
              <o:lock v:ext="edit" aspectratio="f"/>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w:t>
                    </w:r>
                    <w:r>
                      <w:rPr>
                        <w:sz w:val="18"/>
                        <w:szCs w:val="18"/>
                      </w:rPr>
                      <w:t>0</w:t>
                    </w:r>
                    <w:r>
                      <w:rPr>
                        <w:rFonts w:hint="eastAsia"/>
                        <w:sz w:val="18"/>
                        <w:szCs w:val="18"/>
                      </w:rPr>
                      <w:t>管理体系审核记录表(03版)</w:t>
                    </w:r>
                  </w:p>
                </w:txbxContent>
              </v:textbox>
            </v:shape>
          </w:pict>
        </mc:Fallback>
      </mc:AlternateContent>
    </w:r>
    <w:r>
      <w:rPr>
        <w:rStyle w:val="19"/>
        <w:rFonts w:hint="default"/>
        <w:w w:val="90"/>
      </w:rPr>
      <w:t>Beijing International Standard united Certification Co.,Ltd.</w:t>
    </w:r>
  </w:p>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D8E487"/>
    <w:multiLevelType w:val="singleLevel"/>
    <w:tmpl w:val="D0D8E487"/>
    <w:lvl w:ilvl="0" w:tentative="0">
      <w:start w:val="1"/>
      <w:numFmt w:val="lowerLetter"/>
      <w:suff w:val="space"/>
      <w:lvlText w:val="%1）"/>
      <w:lvlJc w:val="left"/>
    </w:lvl>
  </w:abstractNum>
  <w:abstractNum w:abstractNumId="1">
    <w:nsid w:val="56645777"/>
    <w:multiLevelType w:val="singleLevel"/>
    <w:tmpl w:val="56645777"/>
    <w:lvl w:ilvl="0" w:tentative="0">
      <w:start w:val="1"/>
      <w:numFmt w:val="low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4MGQzYmZlYjc0MTg3YzE3NjNlNzg5YWY5YjI1NjgifQ=="/>
  </w:docVars>
  <w:rsids>
    <w:rsidRoot w:val="00172A27"/>
    <w:rsid w:val="0000618F"/>
    <w:rsid w:val="00014985"/>
    <w:rsid w:val="000172A7"/>
    <w:rsid w:val="00020D48"/>
    <w:rsid w:val="000237F6"/>
    <w:rsid w:val="00031FA4"/>
    <w:rsid w:val="0003219A"/>
    <w:rsid w:val="00033365"/>
    <w:rsid w:val="0003373A"/>
    <w:rsid w:val="00036635"/>
    <w:rsid w:val="000400E2"/>
    <w:rsid w:val="000455E4"/>
    <w:rsid w:val="000622D8"/>
    <w:rsid w:val="000624EE"/>
    <w:rsid w:val="00062E46"/>
    <w:rsid w:val="00066FA3"/>
    <w:rsid w:val="00077884"/>
    <w:rsid w:val="00083548"/>
    <w:rsid w:val="00096A61"/>
    <w:rsid w:val="000A01A9"/>
    <w:rsid w:val="000A4194"/>
    <w:rsid w:val="000A53EA"/>
    <w:rsid w:val="000B11D3"/>
    <w:rsid w:val="000B165E"/>
    <w:rsid w:val="000C0134"/>
    <w:rsid w:val="000D09A6"/>
    <w:rsid w:val="000D14C3"/>
    <w:rsid w:val="000D28BC"/>
    <w:rsid w:val="000D3451"/>
    <w:rsid w:val="000E6B21"/>
    <w:rsid w:val="000E757E"/>
    <w:rsid w:val="00100519"/>
    <w:rsid w:val="00100939"/>
    <w:rsid w:val="001126B5"/>
    <w:rsid w:val="001211F8"/>
    <w:rsid w:val="00132283"/>
    <w:rsid w:val="0013663D"/>
    <w:rsid w:val="0015105E"/>
    <w:rsid w:val="00154AEC"/>
    <w:rsid w:val="001607F2"/>
    <w:rsid w:val="00170956"/>
    <w:rsid w:val="00172A27"/>
    <w:rsid w:val="00174C27"/>
    <w:rsid w:val="00181738"/>
    <w:rsid w:val="001A0795"/>
    <w:rsid w:val="001A2D7F"/>
    <w:rsid w:val="001A5750"/>
    <w:rsid w:val="001C015D"/>
    <w:rsid w:val="001C4036"/>
    <w:rsid w:val="001C7883"/>
    <w:rsid w:val="001D59CA"/>
    <w:rsid w:val="001D6CDE"/>
    <w:rsid w:val="001F354D"/>
    <w:rsid w:val="00202DCE"/>
    <w:rsid w:val="0021056A"/>
    <w:rsid w:val="00210D0D"/>
    <w:rsid w:val="00215F05"/>
    <w:rsid w:val="0022272E"/>
    <w:rsid w:val="00224211"/>
    <w:rsid w:val="002250A0"/>
    <w:rsid w:val="002420F1"/>
    <w:rsid w:val="00246A39"/>
    <w:rsid w:val="00254E48"/>
    <w:rsid w:val="00255D00"/>
    <w:rsid w:val="00257FEC"/>
    <w:rsid w:val="0026762B"/>
    <w:rsid w:val="00282CEC"/>
    <w:rsid w:val="00290D09"/>
    <w:rsid w:val="002939AD"/>
    <w:rsid w:val="002A4523"/>
    <w:rsid w:val="002A4A77"/>
    <w:rsid w:val="002A5E14"/>
    <w:rsid w:val="002A6D92"/>
    <w:rsid w:val="002A76D8"/>
    <w:rsid w:val="002B0B14"/>
    <w:rsid w:val="002C406C"/>
    <w:rsid w:val="002D51DC"/>
    <w:rsid w:val="00305B8F"/>
    <w:rsid w:val="00305EC0"/>
    <w:rsid w:val="00307AF7"/>
    <w:rsid w:val="003108C2"/>
    <w:rsid w:val="003118C2"/>
    <w:rsid w:val="003138A8"/>
    <w:rsid w:val="00314AF6"/>
    <w:rsid w:val="0032578F"/>
    <w:rsid w:val="00327D4A"/>
    <w:rsid w:val="00330FBB"/>
    <w:rsid w:val="00335FBB"/>
    <w:rsid w:val="00337922"/>
    <w:rsid w:val="00340867"/>
    <w:rsid w:val="003456A2"/>
    <w:rsid w:val="00345CA7"/>
    <w:rsid w:val="00353F23"/>
    <w:rsid w:val="003565F6"/>
    <w:rsid w:val="00374275"/>
    <w:rsid w:val="003755E6"/>
    <w:rsid w:val="00376ADE"/>
    <w:rsid w:val="003807AA"/>
    <w:rsid w:val="00380837"/>
    <w:rsid w:val="0038228C"/>
    <w:rsid w:val="0038333F"/>
    <w:rsid w:val="00385F41"/>
    <w:rsid w:val="003925BD"/>
    <w:rsid w:val="00394694"/>
    <w:rsid w:val="003A198A"/>
    <w:rsid w:val="003A2920"/>
    <w:rsid w:val="003A7AA7"/>
    <w:rsid w:val="003B5481"/>
    <w:rsid w:val="003C7386"/>
    <w:rsid w:val="003E385C"/>
    <w:rsid w:val="003F1C8D"/>
    <w:rsid w:val="003F6156"/>
    <w:rsid w:val="00400A07"/>
    <w:rsid w:val="00401073"/>
    <w:rsid w:val="00410421"/>
    <w:rsid w:val="00410914"/>
    <w:rsid w:val="00411120"/>
    <w:rsid w:val="004159F1"/>
    <w:rsid w:val="004177C7"/>
    <w:rsid w:val="0043137D"/>
    <w:rsid w:val="00434461"/>
    <w:rsid w:val="004409C2"/>
    <w:rsid w:val="004411C2"/>
    <w:rsid w:val="004422D7"/>
    <w:rsid w:val="00443EC2"/>
    <w:rsid w:val="00450468"/>
    <w:rsid w:val="00451891"/>
    <w:rsid w:val="00455C83"/>
    <w:rsid w:val="00462DA5"/>
    <w:rsid w:val="004724DC"/>
    <w:rsid w:val="0048201E"/>
    <w:rsid w:val="00484432"/>
    <w:rsid w:val="00490BC4"/>
    <w:rsid w:val="004916C0"/>
    <w:rsid w:val="004A0C98"/>
    <w:rsid w:val="004A1CBE"/>
    <w:rsid w:val="004A2349"/>
    <w:rsid w:val="004A42F9"/>
    <w:rsid w:val="004A59B4"/>
    <w:rsid w:val="004B2CE4"/>
    <w:rsid w:val="004B6333"/>
    <w:rsid w:val="004C0FDE"/>
    <w:rsid w:val="004D048A"/>
    <w:rsid w:val="004D7DE5"/>
    <w:rsid w:val="004E6F1C"/>
    <w:rsid w:val="004F0CA5"/>
    <w:rsid w:val="004F31E5"/>
    <w:rsid w:val="004F71DB"/>
    <w:rsid w:val="00513101"/>
    <w:rsid w:val="00516087"/>
    <w:rsid w:val="00536930"/>
    <w:rsid w:val="00553344"/>
    <w:rsid w:val="00553CEA"/>
    <w:rsid w:val="0055669E"/>
    <w:rsid w:val="00564E53"/>
    <w:rsid w:val="005653F0"/>
    <w:rsid w:val="005665A9"/>
    <w:rsid w:val="0057371F"/>
    <w:rsid w:val="00580AD2"/>
    <w:rsid w:val="00583555"/>
    <w:rsid w:val="005841E5"/>
    <w:rsid w:val="00585108"/>
    <w:rsid w:val="00595461"/>
    <w:rsid w:val="005A00DD"/>
    <w:rsid w:val="005A3812"/>
    <w:rsid w:val="005A48EE"/>
    <w:rsid w:val="005A70B0"/>
    <w:rsid w:val="005A7E13"/>
    <w:rsid w:val="005B4EFC"/>
    <w:rsid w:val="005B5527"/>
    <w:rsid w:val="005C1255"/>
    <w:rsid w:val="005C4869"/>
    <w:rsid w:val="005D3198"/>
    <w:rsid w:val="005D5659"/>
    <w:rsid w:val="005E3DEA"/>
    <w:rsid w:val="005E5102"/>
    <w:rsid w:val="005E5230"/>
    <w:rsid w:val="00600C20"/>
    <w:rsid w:val="00602F72"/>
    <w:rsid w:val="0062028A"/>
    <w:rsid w:val="006208C0"/>
    <w:rsid w:val="00624DB2"/>
    <w:rsid w:val="00633CBF"/>
    <w:rsid w:val="00635A86"/>
    <w:rsid w:val="00641BC6"/>
    <w:rsid w:val="00644FE2"/>
    <w:rsid w:val="00647559"/>
    <w:rsid w:val="00670D8E"/>
    <w:rsid w:val="00673103"/>
    <w:rsid w:val="0067640C"/>
    <w:rsid w:val="00682A43"/>
    <w:rsid w:val="00692CB5"/>
    <w:rsid w:val="006A69D6"/>
    <w:rsid w:val="006A7B14"/>
    <w:rsid w:val="006B080A"/>
    <w:rsid w:val="006B4977"/>
    <w:rsid w:val="006C3774"/>
    <w:rsid w:val="006D40FA"/>
    <w:rsid w:val="006E678B"/>
    <w:rsid w:val="006E7B1D"/>
    <w:rsid w:val="006F60E5"/>
    <w:rsid w:val="006F66B9"/>
    <w:rsid w:val="00706F7C"/>
    <w:rsid w:val="00721965"/>
    <w:rsid w:val="00734ABD"/>
    <w:rsid w:val="00735A6E"/>
    <w:rsid w:val="00750E6E"/>
    <w:rsid w:val="0075571F"/>
    <w:rsid w:val="00755853"/>
    <w:rsid w:val="00765B5F"/>
    <w:rsid w:val="0077133E"/>
    <w:rsid w:val="007757F3"/>
    <w:rsid w:val="00781FEB"/>
    <w:rsid w:val="00784362"/>
    <w:rsid w:val="007A3CD1"/>
    <w:rsid w:val="007B0B22"/>
    <w:rsid w:val="007B5750"/>
    <w:rsid w:val="007B6CA9"/>
    <w:rsid w:val="007C1B48"/>
    <w:rsid w:val="007C4604"/>
    <w:rsid w:val="007E3B15"/>
    <w:rsid w:val="007E6AEB"/>
    <w:rsid w:val="007F1DE2"/>
    <w:rsid w:val="007F429A"/>
    <w:rsid w:val="007F628B"/>
    <w:rsid w:val="00806F94"/>
    <w:rsid w:val="008107A0"/>
    <w:rsid w:val="00810C39"/>
    <w:rsid w:val="0081449E"/>
    <w:rsid w:val="008200B2"/>
    <w:rsid w:val="00821DDE"/>
    <w:rsid w:val="00821F87"/>
    <w:rsid w:val="00822941"/>
    <w:rsid w:val="00827CAA"/>
    <w:rsid w:val="00835B32"/>
    <w:rsid w:val="008414EA"/>
    <w:rsid w:val="00846448"/>
    <w:rsid w:val="00852D83"/>
    <w:rsid w:val="00854C63"/>
    <w:rsid w:val="00857CE8"/>
    <w:rsid w:val="00883736"/>
    <w:rsid w:val="008973EE"/>
    <w:rsid w:val="008B099F"/>
    <w:rsid w:val="008B3727"/>
    <w:rsid w:val="008B5732"/>
    <w:rsid w:val="008B6A82"/>
    <w:rsid w:val="008B7E81"/>
    <w:rsid w:val="008C279C"/>
    <w:rsid w:val="008C4292"/>
    <w:rsid w:val="008C4943"/>
    <w:rsid w:val="008E278C"/>
    <w:rsid w:val="008E46FC"/>
    <w:rsid w:val="008E570B"/>
    <w:rsid w:val="008F3AE9"/>
    <w:rsid w:val="008F4053"/>
    <w:rsid w:val="008F43C8"/>
    <w:rsid w:val="008F5C30"/>
    <w:rsid w:val="00901ABC"/>
    <w:rsid w:val="009118C5"/>
    <w:rsid w:val="00913015"/>
    <w:rsid w:val="00917234"/>
    <w:rsid w:val="009211BC"/>
    <w:rsid w:val="009227FE"/>
    <w:rsid w:val="0092531B"/>
    <w:rsid w:val="009361F5"/>
    <w:rsid w:val="00941004"/>
    <w:rsid w:val="009420A7"/>
    <w:rsid w:val="009434BE"/>
    <w:rsid w:val="0095158F"/>
    <w:rsid w:val="00971600"/>
    <w:rsid w:val="00983692"/>
    <w:rsid w:val="00984FF0"/>
    <w:rsid w:val="00991504"/>
    <w:rsid w:val="009973B4"/>
    <w:rsid w:val="009A294D"/>
    <w:rsid w:val="009A4344"/>
    <w:rsid w:val="009B40E6"/>
    <w:rsid w:val="009C09D3"/>
    <w:rsid w:val="009C28C1"/>
    <w:rsid w:val="009C2A67"/>
    <w:rsid w:val="009D4C99"/>
    <w:rsid w:val="009E4594"/>
    <w:rsid w:val="009E509F"/>
    <w:rsid w:val="009F2810"/>
    <w:rsid w:val="009F7EED"/>
    <w:rsid w:val="00A004B6"/>
    <w:rsid w:val="00A00A66"/>
    <w:rsid w:val="00A03AB0"/>
    <w:rsid w:val="00A03B2A"/>
    <w:rsid w:val="00A10908"/>
    <w:rsid w:val="00A24D4B"/>
    <w:rsid w:val="00A324D5"/>
    <w:rsid w:val="00A4056D"/>
    <w:rsid w:val="00A40FE6"/>
    <w:rsid w:val="00A42B11"/>
    <w:rsid w:val="00A521F0"/>
    <w:rsid w:val="00A56733"/>
    <w:rsid w:val="00A74E10"/>
    <w:rsid w:val="00A80636"/>
    <w:rsid w:val="00A856B9"/>
    <w:rsid w:val="00A85E35"/>
    <w:rsid w:val="00A87338"/>
    <w:rsid w:val="00A92316"/>
    <w:rsid w:val="00A92400"/>
    <w:rsid w:val="00AB0E26"/>
    <w:rsid w:val="00AB3863"/>
    <w:rsid w:val="00AB38E0"/>
    <w:rsid w:val="00AB4939"/>
    <w:rsid w:val="00AB6A85"/>
    <w:rsid w:val="00AC2FE4"/>
    <w:rsid w:val="00AC505A"/>
    <w:rsid w:val="00AC73E8"/>
    <w:rsid w:val="00AC7D83"/>
    <w:rsid w:val="00AD4BDC"/>
    <w:rsid w:val="00AE06F2"/>
    <w:rsid w:val="00AE313E"/>
    <w:rsid w:val="00AE46F3"/>
    <w:rsid w:val="00AF0AAB"/>
    <w:rsid w:val="00AF0CE4"/>
    <w:rsid w:val="00AF4C80"/>
    <w:rsid w:val="00AF7608"/>
    <w:rsid w:val="00B06469"/>
    <w:rsid w:val="00B2731A"/>
    <w:rsid w:val="00B36B10"/>
    <w:rsid w:val="00B36E58"/>
    <w:rsid w:val="00B45443"/>
    <w:rsid w:val="00B47769"/>
    <w:rsid w:val="00B53542"/>
    <w:rsid w:val="00B56F9E"/>
    <w:rsid w:val="00B601B2"/>
    <w:rsid w:val="00B64967"/>
    <w:rsid w:val="00B75062"/>
    <w:rsid w:val="00B77D23"/>
    <w:rsid w:val="00B82B02"/>
    <w:rsid w:val="00B87544"/>
    <w:rsid w:val="00B924FB"/>
    <w:rsid w:val="00B96E10"/>
    <w:rsid w:val="00BA206D"/>
    <w:rsid w:val="00BB4BB4"/>
    <w:rsid w:val="00BD477C"/>
    <w:rsid w:val="00BE7ECE"/>
    <w:rsid w:val="00BF597E"/>
    <w:rsid w:val="00BF612A"/>
    <w:rsid w:val="00BF63A3"/>
    <w:rsid w:val="00C03B19"/>
    <w:rsid w:val="00C06D54"/>
    <w:rsid w:val="00C122F9"/>
    <w:rsid w:val="00C1336C"/>
    <w:rsid w:val="00C2092E"/>
    <w:rsid w:val="00C26678"/>
    <w:rsid w:val="00C315A5"/>
    <w:rsid w:val="00C36056"/>
    <w:rsid w:val="00C407A4"/>
    <w:rsid w:val="00C40D2F"/>
    <w:rsid w:val="00C51A36"/>
    <w:rsid w:val="00C55101"/>
    <w:rsid w:val="00C55228"/>
    <w:rsid w:val="00C63768"/>
    <w:rsid w:val="00C658AB"/>
    <w:rsid w:val="00C72A05"/>
    <w:rsid w:val="00C7514B"/>
    <w:rsid w:val="00C77034"/>
    <w:rsid w:val="00C84BCA"/>
    <w:rsid w:val="00C95618"/>
    <w:rsid w:val="00CB4775"/>
    <w:rsid w:val="00CB5105"/>
    <w:rsid w:val="00CC5FC1"/>
    <w:rsid w:val="00CD2F33"/>
    <w:rsid w:val="00CD31FD"/>
    <w:rsid w:val="00CD44C4"/>
    <w:rsid w:val="00CD6A70"/>
    <w:rsid w:val="00CE315A"/>
    <w:rsid w:val="00CE4CD2"/>
    <w:rsid w:val="00D06F59"/>
    <w:rsid w:val="00D06F9E"/>
    <w:rsid w:val="00D128EF"/>
    <w:rsid w:val="00D20FDD"/>
    <w:rsid w:val="00D21766"/>
    <w:rsid w:val="00D21A23"/>
    <w:rsid w:val="00D37B74"/>
    <w:rsid w:val="00D511D8"/>
    <w:rsid w:val="00D51BC9"/>
    <w:rsid w:val="00D523F5"/>
    <w:rsid w:val="00D5750A"/>
    <w:rsid w:val="00D60569"/>
    <w:rsid w:val="00D638E6"/>
    <w:rsid w:val="00D64586"/>
    <w:rsid w:val="00D72DE7"/>
    <w:rsid w:val="00D75D59"/>
    <w:rsid w:val="00D8388C"/>
    <w:rsid w:val="00D8474B"/>
    <w:rsid w:val="00D9320B"/>
    <w:rsid w:val="00D94F09"/>
    <w:rsid w:val="00DB0A8F"/>
    <w:rsid w:val="00DB38AD"/>
    <w:rsid w:val="00DB60AD"/>
    <w:rsid w:val="00DB6A55"/>
    <w:rsid w:val="00DB7E69"/>
    <w:rsid w:val="00DC6312"/>
    <w:rsid w:val="00DD33DB"/>
    <w:rsid w:val="00DD429E"/>
    <w:rsid w:val="00DE28CC"/>
    <w:rsid w:val="00DE4D6D"/>
    <w:rsid w:val="00DE595B"/>
    <w:rsid w:val="00DF1100"/>
    <w:rsid w:val="00E10A4B"/>
    <w:rsid w:val="00E113CA"/>
    <w:rsid w:val="00E12658"/>
    <w:rsid w:val="00E16D3B"/>
    <w:rsid w:val="00E20F46"/>
    <w:rsid w:val="00E23BC1"/>
    <w:rsid w:val="00E261AE"/>
    <w:rsid w:val="00E348B3"/>
    <w:rsid w:val="00E361DE"/>
    <w:rsid w:val="00E402CD"/>
    <w:rsid w:val="00E43FFD"/>
    <w:rsid w:val="00E46E99"/>
    <w:rsid w:val="00E52882"/>
    <w:rsid w:val="00E6224C"/>
    <w:rsid w:val="00E63724"/>
    <w:rsid w:val="00E67366"/>
    <w:rsid w:val="00E7240B"/>
    <w:rsid w:val="00E7379E"/>
    <w:rsid w:val="00E73DD8"/>
    <w:rsid w:val="00E92F55"/>
    <w:rsid w:val="00EA0B69"/>
    <w:rsid w:val="00EA37D1"/>
    <w:rsid w:val="00EB0164"/>
    <w:rsid w:val="00EB1C22"/>
    <w:rsid w:val="00EB3D2A"/>
    <w:rsid w:val="00EB5592"/>
    <w:rsid w:val="00EC3BAF"/>
    <w:rsid w:val="00EC4987"/>
    <w:rsid w:val="00EC53EC"/>
    <w:rsid w:val="00ED0F62"/>
    <w:rsid w:val="00ED3D99"/>
    <w:rsid w:val="00ED6A4D"/>
    <w:rsid w:val="00EE1DBC"/>
    <w:rsid w:val="00EE4C2D"/>
    <w:rsid w:val="00EE68A8"/>
    <w:rsid w:val="00EF1DE1"/>
    <w:rsid w:val="00EF246D"/>
    <w:rsid w:val="00EF749E"/>
    <w:rsid w:val="00F066F7"/>
    <w:rsid w:val="00F1520A"/>
    <w:rsid w:val="00F155A7"/>
    <w:rsid w:val="00F15BC0"/>
    <w:rsid w:val="00F15D64"/>
    <w:rsid w:val="00F160DF"/>
    <w:rsid w:val="00F20015"/>
    <w:rsid w:val="00F21087"/>
    <w:rsid w:val="00F314DF"/>
    <w:rsid w:val="00F35254"/>
    <w:rsid w:val="00F37CB8"/>
    <w:rsid w:val="00F400F4"/>
    <w:rsid w:val="00F4354E"/>
    <w:rsid w:val="00F4538A"/>
    <w:rsid w:val="00F51DFC"/>
    <w:rsid w:val="00F6347C"/>
    <w:rsid w:val="00F74A85"/>
    <w:rsid w:val="00F82A5B"/>
    <w:rsid w:val="00F85D84"/>
    <w:rsid w:val="00F869EB"/>
    <w:rsid w:val="00F90598"/>
    <w:rsid w:val="00F97689"/>
    <w:rsid w:val="00F97A10"/>
    <w:rsid w:val="00FA1D61"/>
    <w:rsid w:val="00FA6979"/>
    <w:rsid w:val="00FA6D2C"/>
    <w:rsid w:val="00FA7AE7"/>
    <w:rsid w:val="00FB0156"/>
    <w:rsid w:val="00FB10C6"/>
    <w:rsid w:val="00FB7865"/>
    <w:rsid w:val="00FC0497"/>
    <w:rsid w:val="00FC47BD"/>
    <w:rsid w:val="00FD631E"/>
    <w:rsid w:val="00FD662D"/>
    <w:rsid w:val="00FE0DBA"/>
    <w:rsid w:val="00FE46BD"/>
    <w:rsid w:val="00FE4EEF"/>
    <w:rsid w:val="00FE7093"/>
    <w:rsid w:val="00FE7902"/>
    <w:rsid w:val="00FE7B89"/>
    <w:rsid w:val="00FF33C4"/>
    <w:rsid w:val="01260C71"/>
    <w:rsid w:val="012849EF"/>
    <w:rsid w:val="012B17F5"/>
    <w:rsid w:val="0148246F"/>
    <w:rsid w:val="01866039"/>
    <w:rsid w:val="01B97AED"/>
    <w:rsid w:val="01BB3069"/>
    <w:rsid w:val="01CB67BC"/>
    <w:rsid w:val="01CE4435"/>
    <w:rsid w:val="01E27364"/>
    <w:rsid w:val="01F72228"/>
    <w:rsid w:val="020C2FE0"/>
    <w:rsid w:val="02203F02"/>
    <w:rsid w:val="0228580F"/>
    <w:rsid w:val="026A697D"/>
    <w:rsid w:val="02761433"/>
    <w:rsid w:val="028120F9"/>
    <w:rsid w:val="02C41A3B"/>
    <w:rsid w:val="02C541EF"/>
    <w:rsid w:val="02C75A20"/>
    <w:rsid w:val="03085664"/>
    <w:rsid w:val="0326784C"/>
    <w:rsid w:val="032F5195"/>
    <w:rsid w:val="03373FF4"/>
    <w:rsid w:val="03504EFA"/>
    <w:rsid w:val="036737B4"/>
    <w:rsid w:val="03A0688A"/>
    <w:rsid w:val="03A32F8E"/>
    <w:rsid w:val="03AC3D8E"/>
    <w:rsid w:val="03CE483E"/>
    <w:rsid w:val="03CF54E8"/>
    <w:rsid w:val="03D738E7"/>
    <w:rsid w:val="0405614C"/>
    <w:rsid w:val="040B10C4"/>
    <w:rsid w:val="042332AF"/>
    <w:rsid w:val="044125D6"/>
    <w:rsid w:val="0441326A"/>
    <w:rsid w:val="04414625"/>
    <w:rsid w:val="04883DB3"/>
    <w:rsid w:val="04981EC9"/>
    <w:rsid w:val="04C420B7"/>
    <w:rsid w:val="050D3D1E"/>
    <w:rsid w:val="05322678"/>
    <w:rsid w:val="05422E8D"/>
    <w:rsid w:val="056577F0"/>
    <w:rsid w:val="05692040"/>
    <w:rsid w:val="05705C5F"/>
    <w:rsid w:val="059C20C3"/>
    <w:rsid w:val="05A05014"/>
    <w:rsid w:val="05F6270F"/>
    <w:rsid w:val="0605101B"/>
    <w:rsid w:val="06120F24"/>
    <w:rsid w:val="0618393F"/>
    <w:rsid w:val="061B4460"/>
    <w:rsid w:val="06406560"/>
    <w:rsid w:val="067B702D"/>
    <w:rsid w:val="06994A8D"/>
    <w:rsid w:val="06AA7E97"/>
    <w:rsid w:val="06ED5F39"/>
    <w:rsid w:val="06ED612A"/>
    <w:rsid w:val="0700448C"/>
    <w:rsid w:val="07045FF9"/>
    <w:rsid w:val="071261A2"/>
    <w:rsid w:val="072B7E9F"/>
    <w:rsid w:val="07373D26"/>
    <w:rsid w:val="0790237C"/>
    <w:rsid w:val="07A565CE"/>
    <w:rsid w:val="07C13D29"/>
    <w:rsid w:val="07ED0401"/>
    <w:rsid w:val="07EF616D"/>
    <w:rsid w:val="07F5731B"/>
    <w:rsid w:val="081B6228"/>
    <w:rsid w:val="0833198E"/>
    <w:rsid w:val="083339D6"/>
    <w:rsid w:val="08767210"/>
    <w:rsid w:val="0884117F"/>
    <w:rsid w:val="08851DD7"/>
    <w:rsid w:val="08A65A0B"/>
    <w:rsid w:val="08C22483"/>
    <w:rsid w:val="08ED1EE8"/>
    <w:rsid w:val="09005957"/>
    <w:rsid w:val="09621B67"/>
    <w:rsid w:val="096333C5"/>
    <w:rsid w:val="0977604F"/>
    <w:rsid w:val="09933EF9"/>
    <w:rsid w:val="09AA0CA5"/>
    <w:rsid w:val="09DC02FD"/>
    <w:rsid w:val="09FA6045"/>
    <w:rsid w:val="0A0F142E"/>
    <w:rsid w:val="0A1C56C1"/>
    <w:rsid w:val="0A793506"/>
    <w:rsid w:val="0A8371C4"/>
    <w:rsid w:val="0A904067"/>
    <w:rsid w:val="0ACA6ED2"/>
    <w:rsid w:val="0AEF4D8D"/>
    <w:rsid w:val="0B0C5CAD"/>
    <w:rsid w:val="0B10795D"/>
    <w:rsid w:val="0B3A4AAA"/>
    <w:rsid w:val="0B4D2BD0"/>
    <w:rsid w:val="0B8E28C6"/>
    <w:rsid w:val="0BCE544E"/>
    <w:rsid w:val="0BE64DFF"/>
    <w:rsid w:val="0BE857A2"/>
    <w:rsid w:val="0C0717B4"/>
    <w:rsid w:val="0C466D6D"/>
    <w:rsid w:val="0C5423F7"/>
    <w:rsid w:val="0C660EFE"/>
    <w:rsid w:val="0C6B0B18"/>
    <w:rsid w:val="0C8009B8"/>
    <w:rsid w:val="0C842FD4"/>
    <w:rsid w:val="0CA27A29"/>
    <w:rsid w:val="0CC102DA"/>
    <w:rsid w:val="0CC85F41"/>
    <w:rsid w:val="0CC87248"/>
    <w:rsid w:val="0CD5463E"/>
    <w:rsid w:val="0CE57F67"/>
    <w:rsid w:val="0CEB516B"/>
    <w:rsid w:val="0D0D1D0A"/>
    <w:rsid w:val="0D181113"/>
    <w:rsid w:val="0D1E4D9B"/>
    <w:rsid w:val="0D4D1326"/>
    <w:rsid w:val="0D560152"/>
    <w:rsid w:val="0D6A2C36"/>
    <w:rsid w:val="0D7B34FF"/>
    <w:rsid w:val="0DB35CC0"/>
    <w:rsid w:val="0DD9585D"/>
    <w:rsid w:val="0E306F6C"/>
    <w:rsid w:val="0E49595F"/>
    <w:rsid w:val="0E4C35DF"/>
    <w:rsid w:val="0E5927F2"/>
    <w:rsid w:val="0EA43140"/>
    <w:rsid w:val="0EA50415"/>
    <w:rsid w:val="0EB8524B"/>
    <w:rsid w:val="0EB8667B"/>
    <w:rsid w:val="0ECE0C57"/>
    <w:rsid w:val="0F7D54F9"/>
    <w:rsid w:val="0F86648B"/>
    <w:rsid w:val="0FBB3782"/>
    <w:rsid w:val="0FDE4D72"/>
    <w:rsid w:val="0FFA42BF"/>
    <w:rsid w:val="100B6D7F"/>
    <w:rsid w:val="100D075A"/>
    <w:rsid w:val="1055343B"/>
    <w:rsid w:val="106A3497"/>
    <w:rsid w:val="108219C2"/>
    <w:rsid w:val="10991918"/>
    <w:rsid w:val="10A120FB"/>
    <w:rsid w:val="10AB5B5F"/>
    <w:rsid w:val="10C112A0"/>
    <w:rsid w:val="10C11C69"/>
    <w:rsid w:val="10C54500"/>
    <w:rsid w:val="10C64B2B"/>
    <w:rsid w:val="10D61701"/>
    <w:rsid w:val="10DD2E35"/>
    <w:rsid w:val="113D4501"/>
    <w:rsid w:val="113F6014"/>
    <w:rsid w:val="114527F6"/>
    <w:rsid w:val="11536201"/>
    <w:rsid w:val="115D3DB9"/>
    <w:rsid w:val="11BD2BE2"/>
    <w:rsid w:val="11BE2038"/>
    <w:rsid w:val="11C40475"/>
    <w:rsid w:val="11DC0AC4"/>
    <w:rsid w:val="11E2439D"/>
    <w:rsid w:val="121A66AF"/>
    <w:rsid w:val="12563B2D"/>
    <w:rsid w:val="126207EB"/>
    <w:rsid w:val="126646D1"/>
    <w:rsid w:val="12A2571D"/>
    <w:rsid w:val="12A42EA7"/>
    <w:rsid w:val="12A506D3"/>
    <w:rsid w:val="12BA01F9"/>
    <w:rsid w:val="12C7643F"/>
    <w:rsid w:val="12CB770E"/>
    <w:rsid w:val="131C6135"/>
    <w:rsid w:val="13294193"/>
    <w:rsid w:val="13296CDD"/>
    <w:rsid w:val="133370C5"/>
    <w:rsid w:val="134E7573"/>
    <w:rsid w:val="13641F47"/>
    <w:rsid w:val="13890C2B"/>
    <w:rsid w:val="13992B95"/>
    <w:rsid w:val="139E437B"/>
    <w:rsid w:val="13A420AC"/>
    <w:rsid w:val="13C11723"/>
    <w:rsid w:val="13DB5CFA"/>
    <w:rsid w:val="13EB79B2"/>
    <w:rsid w:val="13F05B29"/>
    <w:rsid w:val="13FF2186"/>
    <w:rsid w:val="142B1883"/>
    <w:rsid w:val="145B46D3"/>
    <w:rsid w:val="14642D75"/>
    <w:rsid w:val="14830186"/>
    <w:rsid w:val="14A349D6"/>
    <w:rsid w:val="14C400FD"/>
    <w:rsid w:val="14CC6277"/>
    <w:rsid w:val="14D957F9"/>
    <w:rsid w:val="14F1297E"/>
    <w:rsid w:val="14F26225"/>
    <w:rsid w:val="15023387"/>
    <w:rsid w:val="15051B66"/>
    <w:rsid w:val="1505218A"/>
    <w:rsid w:val="151414F9"/>
    <w:rsid w:val="154C7AB0"/>
    <w:rsid w:val="15597511"/>
    <w:rsid w:val="155F4281"/>
    <w:rsid w:val="156F663C"/>
    <w:rsid w:val="15B265C1"/>
    <w:rsid w:val="15B5072B"/>
    <w:rsid w:val="15BC540D"/>
    <w:rsid w:val="15D3726E"/>
    <w:rsid w:val="160D3D01"/>
    <w:rsid w:val="16210B83"/>
    <w:rsid w:val="16583F2B"/>
    <w:rsid w:val="1659703F"/>
    <w:rsid w:val="16AB3CAD"/>
    <w:rsid w:val="16E341B9"/>
    <w:rsid w:val="16F10A78"/>
    <w:rsid w:val="17226BDD"/>
    <w:rsid w:val="17446813"/>
    <w:rsid w:val="177551EA"/>
    <w:rsid w:val="178419DC"/>
    <w:rsid w:val="179B1D36"/>
    <w:rsid w:val="17B075A7"/>
    <w:rsid w:val="17C079EC"/>
    <w:rsid w:val="17C85124"/>
    <w:rsid w:val="17F76BA3"/>
    <w:rsid w:val="17FF1031"/>
    <w:rsid w:val="18086A43"/>
    <w:rsid w:val="182A66F0"/>
    <w:rsid w:val="18417AFA"/>
    <w:rsid w:val="186219FD"/>
    <w:rsid w:val="186A6524"/>
    <w:rsid w:val="186F767B"/>
    <w:rsid w:val="187F0353"/>
    <w:rsid w:val="188852B3"/>
    <w:rsid w:val="18A02FC6"/>
    <w:rsid w:val="18F62E16"/>
    <w:rsid w:val="18FB3FC3"/>
    <w:rsid w:val="1906444A"/>
    <w:rsid w:val="193C2BA0"/>
    <w:rsid w:val="19444428"/>
    <w:rsid w:val="19553BF7"/>
    <w:rsid w:val="197008AF"/>
    <w:rsid w:val="19746F33"/>
    <w:rsid w:val="197E61C1"/>
    <w:rsid w:val="198F29B9"/>
    <w:rsid w:val="19A86669"/>
    <w:rsid w:val="19C75256"/>
    <w:rsid w:val="19D74BC7"/>
    <w:rsid w:val="19D961EB"/>
    <w:rsid w:val="19E36F77"/>
    <w:rsid w:val="19FD49DB"/>
    <w:rsid w:val="1A041A8F"/>
    <w:rsid w:val="1A0822F2"/>
    <w:rsid w:val="1A274382"/>
    <w:rsid w:val="1A301C0B"/>
    <w:rsid w:val="1A3A675E"/>
    <w:rsid w:val="1A546A4C"/>
    <w:rsid w:val="1A6A08D3"/>
    <w:rsid w:val="1A6C3FF9"/>
    <w:rsid w:val="1A996190"/>
    <w:rsid w:val="1AAF33A8"/>
    <w:rsid w:val="1AB42370"/>
    <w:rsid w:val="1AC31A17"/>
    <w:rsid w:val="1ACE3514"/>
    <w:rsid w:val="1ACF1254"/>
    <w:rsid w:val="1AE83DAE"/>
    <w:rsid w:val="1AED5B63"/>
    <w:rsid w:val="1B1E6CAD"/>
    <w:rsid w:val="1B462375"/>
    <w:rsid w:val="1B5E3B97"/>
    <w:rsid w:val="1B6B0728"/>
    <w:rsid w:val="1BE61A9D"/>
    <w:rsid w:val="1C392A3A"/>
    <w:rsid w:val="1C683E38"/>
    <w:rsid w:val="1CB1322F"/>
    <w:rsid w:val="1CEB1474"/>
    <w:rsid w:val="1CF3399B"/>
    <w:rsid w:val="1CFD2AFE"/>
    <w:rsid w:val="1D0B42B9"/>
    <w:rsid w:val="1D4D4A00"/>
    <w:rsid w:val="1DAE3E96"/>
    <w:rsid w:val="1DB1507E"/>
    <w:rsid w:val="1DC4038A"/>
    <w:rsid w:val="1DE72E6D"/>
    <w:rsid w:val="1DF36090"/>
    <w:rsid w:val="1DFE25B1"/>
    <w:rsid w:val="1E1A7AD5"/>
    <w:rsid w:val="1E1B241E"/>
    <w:rsid w:val="1E34711A"/>
    <w:rsid w:val="1E3D6E5E"/>
    <w:rsid w:val="1E511FFA"/>
    <w:rsid w:val="1E59377A"/>
    <w:rsid w:val="1E675439"/>
    <w:rsid w:val="1E6B0815"/>
    <w:rsid w:val="1E752FA2"/>
    <w:rsid w:val="1E846B0F"/>
    <w:rsid w:val="1E8A1FBA"/>
    <w:rsid w:val="1ED9609A"/>
    <w:rsid w:val="1EF77273"/>
    <w:rsid w:val="1F0756AB"/>
    <w:rsid w:val="1F1B65D5"/>
    <w:rsid w:val="1F35289F"/>
    <w:rsid w:val="1F4E73A5"/>
    <w:rsid w:val="1F61098D"/>
    <w:rsid w:val="1F752242"/>
    <w:rsid w:val="1F756527"/>
    <w:rsid w:val="1F764FC9"/>
    <w:rsid w:val="1F7F0170"/>
    <w:rsid w:val="1F8E0A45"/>
    <w:rsid w:val="1FAB395F"/>
    <w:rsid w:val="1FB8538A"/>
    <w:rsid w:val="1FF16224"/>
    <w:rsid w:val="201572E0"/>
    <w:rsid w:val="20272451"/>
    <w:rsid w:val="203255D2"/>
    <w:rsid w:val="20346C8F"/>
    <w:rsid w:val="20360EF9"/>
    <w:rsid w:val="20403C64"/>
    <w:rsid w:val="20480162"/>
    <w:rsid w:val="205905F2"/>
    <w:rsid w:val="205B3801"/>
    <w:rsid w:val="207644C2"/>
    <w:rsid w:val="20A511F6"/>
    <w:rsid w:val="20A856C1"/>
    <w:rsid w:val="20BE1D38"/>
    <w:rsid w:val="20CD6F91"/>
    <w:rsid w:val="20E1795A"/>
    <w:rsid w:val="20FC30A5"/>
    <w:rsid w:val="21955824"/>
    <w:rsid w:val="21A07B88"/>
    <w:rsid w:val="21A34258"/>
    <w:rsid w:val="21A576DD"/>
    <w:rsid w:val="21B02061"/>
    <w:rsid w:val="21B227DF"/>
    <w:rsid w:val="21B31BF6"/>
    <w:rsid w:val="21D24208"/>
    <w:rsid w:val="21E11F3F"/>
    <w:rsid w:val="226B2F60"/>
    <w:rsid w:val="22813299"/>
    <w:rsid w:val="229F2D1A"/>
    <w:rsid w:val="23316FE4"/>
    <w:rsid w:val="23363714"/>
    <w:rsid w:val="234570D6"/>
    <w:rsid w:val="23461CA8"/>
    <w:rsid w:val="238A1BAA"/>
    <w:rsid w:val="23900E62"/>
    <w:rsid w:val="23BF3886"/>
    <w:rsid w:val="23CC720A"/>
    <w:rsid w:val="241A6B34"/>
    <w:rsid w:val="24285E2F"/>
    <w:rsid w:val="242A7B69"/>
    <w:rsid w:val="24553A74"/>
    <w:rsid w:val="245A22B5"/>
    <w:rsid w:val="246A25EE"/>
    <w:rsid w:val="247622DE"/>
    <w:rsid w:val="247A0059"/>
    <w:rsid w:val="2480482A"/>
    <w:rsid w:val="2483299C"/>
    <w:rsid w:val="24950DD7"/>
    <w:rsid w:val="24A05D8E"/>
    <w:rsid w:val="24B6555E"/>
    <w:rsid w:val="24FC7C66"/>
    <w:rsid w:val="2519537A"/>
    <w:rsid w:val="258041F6"/>
    <w:rsid w:val="258609CC"/>
    <w:rsid w:val="25B809C4"/>
    <w:rsid w:val="25C04D09"/>
    <w:rsid w:val="25ED68F6"/>
    <w:rsid w:val="261B55F8"/>
    <w:rsid w:val="261C0F72"/>
    <w:rsid w:val="261D5675"/>
    <w:rsid w:val="26325483"/>
    <w:rsid w:val="26410887"/>
    <w:rsid w:val="269C7CAD"/>
    <w:rsid w:val="27130F81"/>
    <w:rsid w:val="271B4DE1"/>
    <w:rsid w:val="272228DE"/>
    <w:rsid w:val="27443F4D"/>
    <w:rsid w:val="274B78E8"/>
    <w:rsid w:val="27573F76"/>
    <w:rsid w:val="27602485"/>
    <w:rsid w:val="2769659E"/>
    <w:rsid w:val="276C5E49"/>
    <w:rsid w:val="276F39D7"/>
    <w:rsid w:val="279F2942"/>
    <w:rsid w:val="27CF15FE"/>
    <w:rsid w:val="27D42EE9"/>
    <w:rsid w:val="27E10A81"/>
    <w:rsid w:val="27FE6486"/>
    <w:rsid w:val="280B3F2E"/>
    <w:rsid w:val="280D1E20"/>
    <w:rsid w:val="28341F0D"/>
    <w:rsid w:val="28736D78"/>
    <w:rsid w:val="2892323E"/>
    <w:rsid w:val="289361DE"/>
    <w:rsid w:val="28C3395C"/>
    <w:rsid w:val="291C5E47"/>
    <w:rsid w:val="296D2D47"/>
    <w:rsid w:val="298C2767"/>
    <w:rsid w:val="29A77C84"/>
    <w:rsid w:val="29C7122F"/>
    <w:rsid w:val="29CB46C2"/>
    <w:rsid w:val="29DD1C13"/>
    <w:rsid w:val="29F77BA5"/>
    <w:rsid w:val="2A11264A"/>
    <w:rsid w:val="2A1E7389"/>
    <w:rsid w:val="2A3A6E77"/>
    <w:rsid w:val="2A4311FB"/>
    <w:rsid w:val="2A570814"/>
    <w:rsid w:val="2A85024C"/>
    <w:rsid w:val="2AA86BA1"/>
    <w:rsid w:val="2ABD2BAD"/>
    <w:rsid w:val="2AC8327F"/>
    <w:rsid w:val="2AD3142C"/>
    <w:rsid w:val="2B0D2F04"/>
    <w:rsid w:val="2B1D2572"/>
    <w:rsid w:val="2B206A2D"/>
    <w:rsid w:val="2B492E1A"/>
    <w:rsid w:val="2B4C1179"/>
    <w:rsid w:val="2B5D0EFC"/>
    <w:rsid w:val="2B6C36BA"/>
    <w:rsid w:val="2B7B0583"/>
    <w:rsid w:val="2B953FD2"/>
    <w:rsid w:val="2BA87F0A"/>
    <w:rsid w:val="2BD60481"/>
    <w:rsid w:val="2BE40375"/>
    <w:rsid w:val="2BEA3FA7"/>
    <w:rsid w:val="2BEF4D11"/>
    <w:rsid w:val="2C2E44D4"/>
    <w:rsid w:val="2C486A96"/>
    <w:rsid w:val="2C6D435A"/>
    <w:rsid w:val="2C7B6C71"/>
    <w:rsid w:val="2CE67CB5"/>
    <w:rsid w:val="2D095658"/>
    <w:rsid w:val="2D357F0D"/>
    <w:rsid w:val="2D4E604F"/>
    <w:rsid w:val="2D5C2AB0"/>
    <w:rsid w:val="2D7A20E6"/>
    <w:rsid w:val="2D7B66E3"/>
    <w:rsid w:val="2D913577"/>
    <w:rsid w:val="2D9A3020"/>
    <w:rsid w:val="2DC57805"/>
    <w:rsid w:val="2DCB600F"/>
    <w:rsid w:val="2DDF08DF"/>
    <w:rsid w:val="2DE76EE7"/>
    <w:rsid w:val="2DFF79D8"/>
    <w:rsid w:val="2E1D279E"/>
    <w:rsid w:val="2E367C56"/>
    <w:rsid w:val="2E440885"/>
    <w:rsid w:val="2E4875EB"/>
    <w:rsid w:val="2E7224E3"/>
    <w:rsid w:val="2EE14065"/>
    <w:rsid w:val="2EEE512C"/>
    <w:rsid w:val="2F7C571D"/>
    <w:rsid w:val="2F824436"/>
    <w:rsid w:val="2FA86B66"/>
    <w:rsid w:val="2FC82DC8"/>
    <w:rsid w:val="2FE823A5"/>
    <w:rsid w:val="2FEA1C57"/>
    <w:rsid w:val="30015004"/>
    <w:rsid w:val="300172B8"/>
    <w:rsid w:val="30284CE9"/>
    <w:rsid w:val="30945277"/>
    <w:rsid w:val="30C1548B"/>
    <w:rsid w:val="30C36ECA"/>
    <w:rsid w:val="30C71DD4"/>
    <w:rsid w:val="30D974AD"/>
    <w:rsid w:val="30DC7CB1"/>
    <w:rsid w:val="30ED30CC"/>
    <w:rsid w:val="31064141"/>
    <w:rsid w:val="31221867"/>
    <w:rsid w:val="31B477DB"/>
    <w:rsid w:val="31B67BE2"/>
    <w:rsid w:val="31CA71DD"/>
    <w:rsid w:val="3214697D"/>
    <w:rsid w:val="32341738"/>
    <w:rsid w:val="324E5138"/>
    <w:rsid w:val="325E1B93"/>
    <w:rsid w:val="328A7FD8"/>
    <w:rsid w:val="32C70BAE"/>
    <w:rsid w:val="32D06D58"/>
    <w:rsid w:val="32E1140A"/>
    <w:rsid w:val="331E21CE"/>
    <w:rsid w:val="332B6F8B"/>
    <w:rsid w:val="33424DF8"/>
    <w:rsid w:val="33562A0D"/>
    <w:rsid w:val="335C55FD"/>
    <w:rsid w:val="33715F28"/>
    <w:rsid w:val="33F07155"/>
    <w:rsid w:val="340C6245"/>
    <w:rsid w:val="34113C74"/>
    <w:rsid w:val="343C4522"/>
    <w:rsid w:val="347A0336"/>
    <w:rsid w:val="348376B7"/>
    <w:rsid w:val="34AD1F45"/>
    <w:rsid w:val="34B53587"/>
    <w:rsid w:val="34F92D63"/>
    <w:rsid w:val="35527F1F"/>
    <w:rsid w:val="35623E6F"/>
    <w:rsid w:val="356604EE"/>
    <w:rsid w:val="35754D97"/>
    <w:rsid w:val="357914C0"/>
    <w:rsid w:val="35994264"/>
    <w:rsid w:val="35AB611A"/>
    <w:rsid w:val="35D721CD"/>
    <w:rsid w:val="35DA1C4D"/>
    <w:rsid w:val="36174333"/>
    <w:rsid w:val="3623081B"/>
    <w:rsid w:val="362B5212"/>
    <w:rsid w:val="3640586E"/>
    <w:rsid w:val="364A3F09"/>
    <w:rsid w:val="3659366D"/>
    <w:rsid w:val="367A501B"/>
    <w:rsid w:val="369E57D4"/>
    <w:rsid w:val="36AE3CA3"/>
    <w:rsid w:val="36C91110"/>
    <w:rsid w:val="36E063A8"/>
    <w:rsid w:val="36EA4486"/>
    <w:rsid w:val="36F725CF"/>
    <w:rsid w:val="372D3763"/>
    <w:rsid w:val="37437FCF"/>
    <w:rsid w:val="3763284C"/>
    <w:rsid w:val="37A3423F"/>
    <w:rsid w:val="37A66325"/>
    <w:rsid w:val="37AF435B"/>
    <w:rsid w:val="37B82B0E"/>
    <w:rsid w:val="37D8509F"/>
    <w:rsid w:val="380178E9"/>
    <w:rsid w:val="38363F4B"/>
    <w:rsid w:val="385969A9"/>
    <w:rsid w:val="386866FF"/>
    <w:rsid w:val="38803663"/>
    <w:rsid w:val="389A539F"/>
    <w:rsid w:val="38B37216"/>
    <w:rsid w:val="38BD5C7F"/>
    <w:rsid w:val="38C5580C"/>
    <w:rsid w:val="38EC325F"/>
    <w:rsid w:val="39065B84"/>
    <w:rsid w:val="39286E54"/>
    <w:rsid w:val="394A5FEF"/>
    <w:rsid w:val="395956D6"/>
    <w:rsid w:val="396631B3"/>
    <w:rsid w:val="39812AB6"/>
    <w:rsid w:val="398946BB"/>
    <w:rsid w:val="399117DD"/>
    <w:rsid w:val="39972637"/>
    <w:rsid w:val="399B386E"/>
    <w:rsid w:val="39C13678"/>
    <w:rsid w:val="39D7104B"/>
    <w:rsid w:val="39DC06E8"/>
    <w:rsid w:val="39FA079B"/>
    <w:rsid w:val="3A34450F"/>
    <w:rsid w:val="3A3E0D9F"/>
    <w:rsid w:val="3A5573DE"/>
    <w:rsid w:val="3AAB1306"/>
    <w:rsid w:val="3ABD0173"/>
    <w:rsid w:val="3AC172FF"/>
    <w:rsid w:val="3ACE23E2"/>
    <w:rsid w:val="3ADD35A8"/>
    <w:rsid w:val="3B0D014A"/>
    <w:rsid w:val="3B227AA7"/>
    <w:rsid w:val="3B4241C0"/>
    <w:rsid w:val="3B556BCC"/>
    <w:rsid w:val="3B5F0280"/>
    <w:rsid w:val="3BAB4C5D"/>
    <w:rsid w:val="3BCF547F"/>
    <w:rsid w:val="3BD75A09"/>
    <w:rsid w:val="3BEE1D6F"/>
    <w:rsid w:val="3BF1473C"/>
    <w:rsid w:val="3C187887"/>
    <w:rsid w:val="3C543264"/>
    <w:rsid w:val="3C5C5688"/>
    <w:rsid w:val="3CA475E5"/>
    <w:rsid w:val="3CA717F2"/>
    <w:rsid w:val="3CC445CD"/>
    <w:rsid w:val="3CC56579"/>
    <w:rsid w:val="3CED4B6C"/>
    <w:rsid w:val="3CF504F3"/>
    <w:rsid w:val="3D073283"/>
    <w:rsid w:val="3DAB460B"/>
    <w:rsid w:val="3DC9553D"/>
    <w:rsid w:val="3DDA7DB2"/>
    <w:rsid w:val="3DE86112"/>
    <w:rsid w:val="3E342793"/>
    <w:rsid w:val="3E3C5235"/>
    <w:rsid w:val="3EA34B57"/>
    <w:rsid w:val="3EEF1E6E"/>
    <w:rsid w:val="3F532B3A"/>
    <w:rsid w:val="3F654598"/>
    <w:rsid w:val="3F8E03C8"/>
    <w:rsid w:val="3FC72695"/>
    <w:rsid w:val="3FD70A70"/>
    <w:rsid w:val="403F19EE"/>
    <w:rsid w:val="40571F31"/>
    <w:rsid w:val="40617405"/>
    <w:rsid w:val="40760623"/>
    <w:rsid w:val="408B7234"/>
    <w:rsid w:val="40E27AF7"/>
    <w:rsid w:val="40F42E98"/>
    <w:rsid w:val="40F80D82"/>
    <w:rsid w:val="410251EC"/>
    <w:rsid w:val="410C3893"/>
    <w:rsid w:val="41342A6B"/>
    <w:rsid w:val="413D2B71"/>
    <w:rsid w:val="41482BDD"/>
    <w:rsid w:val="414C7183"/>
    <w:rsid w:val="41523250"/>
    <w:rsid w:val="417E19AB"/>
    <w:rsid w:val="418D501C"/>
    <w:rsid w:val="41D557CA"/>
    <w:rsid w:val="41DF62BB"/>
    <w:rsid w:val="41E33219"/>
    <w:rsid w:val="41E9167B"/>
    <w:rsid w:val="41EE6927"/>
    <w:rsid w:val="420F7024"/>
    <w:rsid w:val="423A05B2"/>
    <w:rsid w:val="423C5247"/>
    <w:rsid w:val="42416B50"/>
    <w:rsid w:val="424465AD"/>
    <w:rsid w:val="424D023F"/>
    <w:rsid w:val="42541DDE"/>
    <w:rsid w:val="4262379E"/>
    <w:rsid w:val="42721F50"/>
    <w:rsid w:val="427A1188"/>
    <w:rsid w:val="42942F0B"/>
    <w:rsid w:val="42A32D2B"/>
    <w:rsid w:val="42C26D29"/>
    <w:rsid w:val="42C87AD8"/>
    <w:rsid w:val="42E312D3"/>
    <w:rsid w:val="432A5E11"/>
    <w:rsid w:val="433B1167"/>
    <w:rsid w:val="4352128B"/>
    <w:rsid w:val="435F500F"/>
    <w:rsid w:val="43B91BA3"/>
    <w:rsid w:val="43C730CD"/>
    <w:rsid w:val="43CF2854"/>
    <w:rsid w:val="44087BCA"/>
    <w:rsid w:val="44350F69"/>
    <w:rsid w:val="44586E1C"/>
    <w:rsid w:val="447A268A"/>
    <w:rsid w:val="44A527AB"/>
    <w:rsid w:val="44A567F5"/>
    <w:rsid w:val="453B1EBC"/>
    <w:rsid w:val="45635AEC"/>
    <w:rsid w:val="45BA54FA"/>
    <w:rsid w:val="45C810D7"/>
    <w:rsid w:val="45EC74A5"/>
    <w:rsid w:val="45FA6B69"/>
    <w:rsid w:val="460414DD"/>
    <w:rsid w:val="46114E42"/>
    <w:rsid w:val="46332B60"/>
    <w:rsid w:val="4654705C"/>
    <w:rsid w:val="468D2C1F"/>
    <w:rsid w:val="468D3CA5"/>
    <w:rsid w:val="46A51AB4"/>
    <w:rsid w:val="46B421B8"/>
    <w:rsid w:val="46EA7997"/>
    <w:rsid w:val="470243E7"/>
    <w:rsid w:val="471F1498"/>
    <w:rsid w:val="47271944"/>
    <w:rsid w:val="472D6B0C"/>
    <w:rsid w:val="473E10CC"/>
    <w:rsid w:val="475C4BFE"/>
    <w:rsid w:val="475D7730"/>
    <w:rsid w:val="47BB044C"/>
    <w:rsid w:val="48262DE5"/>
    <w:rsid w:val="485226C4"/>
    <w:rsid w:val="48DA35BF"/>
    <w:rsid w:val="48ED577E"/>
    <w:rsid w:val="48FB3C39"/>
    <w:rsid w:val="495D1E4B"/>
    <w:rsid w:val="49912790"/>
    <w:rsid w:val="49924247"/>
    <w:rsid w:val="49C0281D"/>
    <w:rsid w:val="49E3211A"/>
    <w:rsid w:val="49E449BF"/>
    <w:rsid w:val="49E82D09"/>
    <w:rsid w:val="49EC77B8"/>
    <w:rsid w:val="49ED5B1C"/>
    <w:rsid w:val="4A085DC7"/>
    <w:rsid w:val="4A451C4E"/>
    <w:rsid w:val="4A7F48B7"/>
    <w:rsid w:val="4A8610DE"/>
    <w:rsid w:val="4AD45EF1"/>
    <w:rsid w:val="4AE04A18"/>
    <w:rsid w:val="4B1401ED"/>
    <w:rsid w:val="4B337454"/>
    <w:rsid w:val="4B407CC6"/>
    <w:rsid w:val="4B42232B"/>
    <w:rsid w:val="4B825A76"/>
    <w:rsid w:val="4B86007D"/>
    <w:rsid w:val="4B8B3702"/>
    <w:rsid w:val="4B9B0D7E"/>
    <w:rsid w:val="4BA34BEF"/>
    <w:rsid w:val="4BC83B65"/>
    <w:rsid w:val="4BCF6DA3"/>
    <w:rsid w:val="4BDE2971"/>
    <w:rsid w:val="4C0C3B65"/>
    <w:rsid w:val="4C204239"/>
    <w:rsid w:val="4C247C80"/>
    <w:rsid w:val="4C787FB1"/>
    <w:rsid w:val="4C92412F"/>
    <w:rsid w:val="4CA74E41"/>
    <w:rsid w:val="4CA91B51"/>
    <w:rsid w:val="4CB62537"/>
    <w:rsid w:val="4CD2365B"/>
    <w:rsid w:val="4D0F484F"/>
    <w:rsid w:val="4D352804"/>
    <w:rsid w:val="4D374D03"/>
    <w:rsid w:val="4D4D529E"/>
    <w:rsid w:val="4D791805"/>
    <w:rsid w:val="4D8F2F88"/>
    <w:rsid w:val="4D910E42"/>
    <w:rsid w:val="4DB86BCB"/>
    <w:rsid w:val="4DD85058"/>
    <w:rsid w:val="4DED6ED9"/>
    <w:rsid w:val="4E0166A9"/>
    <w:rsid w:val="4E1551DB"/>
    <w:rsid w:val="4E2119E3"/>
    <w:rsid w:val="4E47347D"/>
    <w:rsid w:val="4E540EE3"/>
    <w:rsid w:val="4E64232B"/>
    <w:rsid w:val="4E6946CF"/>
    <w:rsid w:val="4E6C5E44"/>
    <w:rsid w:val="4E732061"/>
    <w:rsid w:val="4E7774D0"/>
    <w:rsid w:val="4EAA463D"/>
    <w:rsid w:val="4EDD49AF"/>
    <w:rsid w:val="4F594843"/>
    <w:rsid w:val="4F88590D"/>
    <w:rsid w:val="4FBD5987"/>
    <w:rsid w:val="4FCB0E76"/>
    <w:rsid w:val="4FED1336"/>
    <w:rsid w:val="50207323"/>
    <w:rsid w:val="503C3BCC"/>
    <w:rsid w:val="50791FC9"/>
    <w:rsid w:val="50C41CF1"/>
    <w:rsid w:val="51217DA6"/>
    <w:rsid w:val="51294703"/>
    <w:rsid w:val="51425A27"/>
    <w:rsid w:val="5158757E"/>
    <w:rsid w:val="518C395E"/>
    <w:rsid w:val="521A0B93"/>
    <w:rsid w:val="521A5D1E"/>
    <w:rsid w:val="523624DE"/>
    <w:rsid w:val="526B2302"/>
    <w:rsid w:val="52735F79"/>
    <w:rsid w:val="52A23F56"/>
    <w:rsid w:val="52BA5471"/>
    <w:rsid w:val="52CC19B1"/>
    <w:rsid w:val="52D871F4"/>
    <w:rsid w:val="52F263D6"/>
    <w:rsid w:val="53024EB7"/>
    <w:rsid w:val="531F2139"/>
    <w:rsid w:val="53261795"/>
    <w:rsid w:val="534F62F7"/>
    <w:rsid w:val="53660E02"/>
    <w:rsid w:val="536F60C1"/>
    <w:rsid w:val="53953BE7"/>
    <w:rsid w:val="53CF61E4"/>
    <w:rsid w:val="53DB2F56"/>
    <w:rsid w:val="53F51637"/>
    <w:rsid w:val="54041CD4"/>
    <w:rsid w:val="54124FEF"/>
    <w:rsid w:val="541C4B67"/>
    <w:rsid w:val="5424325D"/>
    <w:rsid w:val="54BF35E0"/>
    <w:rsid w:val="550429BE"/>
    <w:rsid w:val="552A2893"/>
    <w:rsid w:val="55436287"/>
    <w:rsid w:val="556B045B"/>
    <w:rsid w:val="556C7632"/>
    <w:rsid w:val="557D4E77"/>
    <w:rsid w:val="55C375DD"/>
    <w:rsid w:val="55D1283C"/>
    <w:rsid w:val="5608400F"/>
    <w:rsid w:val="56156439"/>
    <w:rsid w:val="562716F5"/>
    <w:rsid w:val="56643532"/>
    <w:rsid w:val="56865BD8"/>
    <w:rsid w:val="568B5A7B"/>
    <w:rsid w:val="56997281"/>
    <w:rsid w:val="56C41BCC"/>
    <w:rsid w:val="570A6E63"/>
    <w:rsid w:val="573B0118"/>
    <w:rsid w:val="573D2268"/>
    <w:rsid w:val="57411925"/>
    <w:rsid w:val="57441E32"/>
    <w:rsid w:val="574E7265"/>
    <w:rsid w:val="57535542"/>
    <w:rsid w:val="57565282"/>
    <w:rsid w:val="575B3098"/>
    <w:rsid w:val="575E2B20"/>
    <w:rsid w:val="57A14CB5"/>
    <w:rsid w:val="57EE06DA"/>
    <w:rsid w:val="57F55B90"/>
    <w:rsid w:val="580F191D"/>
    <w:rsid w:val="581B6507"/>
    <w:rsid w:val="58276F84"/>
    <w:rsid w:val="582A74D4"/>
    <w:rsid w:val="58584813"/>
    <w:rsid w:val="58990FA9"/>
    <w:rsid w:val="58B728A2"/>
    <w:rsid w:val="58B868EB"/>
    <w:rsid w:val="58CD6892"/>
    <w:rsid w:val="58D46744"/>
    <w:rsid w:val="58DA17E1"/>
    <w:rsid w:val="590D059A"/>
    <w:rsid w:val="591243BA"/>
    <w:rsid w:val="592802C2"/>
    <w:rsid w:val="595B0B5E"/>
    <w:rsid w:val="59623A6F"/>
    <w:rsid w:val="596D1AD9"/>
    <w:rsid w:val="5978735A"/>
    <w:rsid w:val="599424C5"/>
    <w:rsid w:val="59E42114"/>
    <w:rsid w:val="59E710C8"/>
    <w:rsid w:val="5A1C59A1"/>
    <w:rsid w:val="5A241F17"/>
    <w:rsid w:val="5A407674"/>
    <w:rsid w:val="5A432974"/>
    <w:rsid w:val="5A67161C"/>
    <w:rsid w:val="5A6A20C5"/>
    <w:rsid w:val="5A851102"/>
    <w:rsid w:val="5AD64AF2"/>
    <w:rsid w:val="5AF377C8"/>
    <w:rsid w:val="5B0449BC"/>
    <w:rsid w:val="5B0B320A"/>
    <w:rsid w:val="5B513157"/>
    <w:rsid w:val="5B517209"/>
    <w:rsid w:val="5B544EB3"/>
    <w:rsid w:val="5B6A33DD"/>
    <w:rsid w:val="5B7C5AEB"/>
    <w:rsid w:val="5BA144BF"/>
    <w:rsid w:val="5BD84182"/>
    <w:rsid w:val="5BF04FFA"/>
    <w:rsid w:val="5C241AEE"/>
    <w:rsid w:val="5C4D2649"/>
    <w:rsid w:val="5C6F6375"/>
    <w:rsid w:val="5C741B1E"/>
    <w:rsid w:val="5C8D6CFF"/>
    <w:rsid w:val="5C940041"/>
    <w:rsid w:val="5C966EB6"/>
    <w:rsid w:val="5CB336E1"/>
    <w:rsid w:val="5CB9068F"/>
    <w:rsid w:val="5CE00D30"/>
    <w:rsid w:val="5CED4821"/>
    <w:rsid w:val="5CF21AD5"/>
    <w:rsid w:val="5CF77CCA"/>
    <w:rsid w:val="5D013462"/>
    <w:rsid w:val="5D3351AF"/>
    <w:rsid w:val="5D4E023A"/>
    <w:rsid w:val="5D604E0E"/>
    <w:rsid w:val="5D633362"/>
    <w:rsid w:val="5D656BAA"/>
    <w:rsid w:val="5D6672E4"/>
    <w:rsid w:val="5D6A28B8"/>
    <w:rsid w:val="5D6B7BC6"/>
    <w:rsid w:val="5D6C21B2"/>
    <w:rsid w:val="5D827878"/>
    <w:rsid w:val="5D88228C"/>
    <w:rsid w:val="5DA67CA3"/>
    <w:rsid w:val="5DBF6011"/>
    <w:rsid w:val="5DC13CCC"/>
    <w:rsid w:val="5DC55564"/>
    <w:rsid w:val="5DDA5570"/>
    <w:rsid w:val="5DE86882"/>
    <w:rsid w:val="5DFA5C1E"/>
    <w:rsid w:val="5E01254D"/>
    <w:rsid w:val="5E0D6E91"/>
    <w:rsid w:val="5E1D75C7"/>
    <w:rsid w:val="5E264AF8"/>
    <w:rsid w:val="5E3B413F"/>
    <w:rsid w:val="5E7B5BB1"/>
    <w:rsid w:val="5E971B73"/>
    <w:rsid w:val="5EA12B9A"/>
    <w:rsid w:val="5EB61B43"/>
    <w:rsid w:val="5EBA7075"/>
    <w:rsid w:val="5EBF5DC8"/>
    <w:rsid w:val="5F02275D"/>
    <w:rsid w:val="5F14059B"/>
    <w:rsid w:val="5F291E1B"/>
    <w:rsid w:val="5F320930"/>
    <w:rsid w:val="5F551AC0"/>
    <w:rsid w:val="5F616E2A"/>
    <w:rsid w:val="5FCC65B3"/>
    <w:rsid w:val="5FE015B4"/>
    <w:rsid w:val="5FEE3CFF"/>
    <w:rsid w:val="6018182B"/>
    <w:rsid w:val="601E0F43"/>
    <w:rsid w:val="60250281"/>
    <w:rsid w:val="60321D44"/>
    <w:rsid w:val="60596F8D"/>
    <w:rsid w:val="608075E1"/>
    <w:rsid w:val="60E47C4C"/>
    <w:rsid w:val="60E60A17"/>
    <w:rsid w:val="61326FB1"/>
    <w:rsid w:val="61384C31"/>
    <w:rsid w:val="61387C98"/>
    <w:rsid w:val="61744854"/>
    <w:rsid w:val="61857CB5"/>
    <w:rsid w:val="619A179D"/>
    <w:rsid w:val="61E77A7E"/>
    <w:rsid w:val="62257ECD"/>
    <w:rsid w:val="622A4138"/>
    <w:rsid w:val="62385483"/>
    <w:rsid w:val="62385A6C"/>
    <w:rsid w:val="625901DA"/>
    <w:rsid w:val="62876D77"/>
    <w:rsid w:val="62C333BD"/>
    <w:rsid w:val="62CA4AF4"/>
    <w:rsid w:val="62D0111E"/>
    <w:rsid w:val="62E012BE"/>
    <w:rsid w:val="62E4371E"/>
    <w:rsid w:val="62FD1DFD"/>
    <w:rsid w:val="632045D1"/>
    <w:rsid w:val="6342544F"/>
    <w:rsid w:val="63630C0C"/>
    <w:rsid w:val="636B5BFD"/>
    <w:rsid w:val="63720424"/>
    <w:rsid w:val="63A31ABC"/>
    <w:rsid w:val="63C65078"/>
    <w:rsid w:val="63D07C41"/>
    <w:rsid w:val="63EA156F"/>
    <w:rsid w:val="63EA6D88"/>
    <w:rsid w:val="63FE524E"/>
    <w:rsid w:val="64106CE7"/>
    <w:rsid w:val="641953DA"/>
    <w:rsid w:val="64621F9C"/>
    <w:rsid w:val="649C75C9"/>
    <w:rsid w:val="64A537DD"/>
    <w:rsid w:val="64B51DAE"/>
    <w:rsid w:val="64B96E85"/>
    <w:rsid w:val="64BB6795"/>
    <w:rsid w:val="64D069A0"/>
    <w:rsid w:val="64F27E75"/>
    <w:rsid w:val="65067C78"/>
    <w:rsid w:val="6542498D"/>
    <w:rsid w:val="655D358A"/>
    <w:rsid w:val="65600ACC"/>
    <w:rsid w:val="65662197"/>
    <w:rsid w:val="658C79F9"/>
    <w:rsid w:val="65A33DF6"/>
    <w:rsid w:val="65B451D1"/>
    <w:rsid w:val="65BE04E1"/>
    <w:rsid w:val="65C11C22"/>
    <w:rsid w:val="65F429F0"/>
    <w:rsid w:val="65F4344F"/>
    <w:rsid w:val="66017B99"/>
    <w:rsid w:val="660632B0"/>
    <w:rsid w:val="661524D7"/>
    <w:rsid w:val="66255B72"/>
    <w:rsid w:val="663F056D"/>
    <w:rsid w:val="665A6FDB"/>
    <w:rsid w:val="665B440E"/>
    <w:rsid w:val="66720AD3"/>
    <w:rsid w:val="66AD32A3"/>
    <w:rsid w:val="66B368AE"/>
    <w:rsid w:val="66B532F3"/>
    <w:rsid w:val="66C2760F"/>
    <w:rsid w:val="66C71719"/>
    <w:rsid w:val="66CB2597"/>
    <w:rsid w:val="66E65335"/>
    <w:rsid w:val="66FA7FFA"/>
    <w:rsid w:val="66FD19D6"/>
    <w:rsid w:val="673975FF"/>
    <w:rsid w:val="675A3B6C"/>
    <w:rsid w:val="678B4DA6"/>
    <w:rsid w:val="67AC0D53"/>
    <w:rsid w:val="67AF7DB6"/>
    <w:rsid w:val="680564C6"/>
    <w:rsid w:val="681B3F7A"/>
    <w:rsid w:val="68233428"/>
    <w:rsid w:val="68291784"/>
    <w:rsid w:val="6847289A"/>
    <w:rsid w:val="68494570"/>
    <w:rsid w:val="68746C8D"/>
    <w:rsid w:val="687C35AE"/>
    <w:rsid w:val="68B54AF7"/>
    <w:rsid w:val="68BB527D"/>
    <w:rsid w:val="68C87D40"/>
    <w:rsid w:val="68C96D98"/>
    <w:rsid w:val="68CA009F"/>
    <w:rsid w:val="68D402C9"/>
    <w:rsid w:val="68D670D7"/>
    <w:rsid w:val="68E43EF4"/>
    <w:rsid w:val="68E4572E"/>
    <w:rsid w:val="6927505C"/>
    <w:rsid w:val="695B5920"/>
    <w:rsid w:val="6968782D"/>
    <w:rsid w:val="698A692A"/>
    <w:rsid w:val="699E5999"/>
    <w:rsid w:val="69B35A0D"/>
    <w:rsid w:val="69C467B7"/>
    <w:rsid w:val="69CC607C"/>
    <w:rsid w:val="69EA1163"/>
    <w:rsid w:val="69F96768"/>
    <w:rsid w:val="6A176492"/>
    <w:rsid w:val="6A287F98"/>
    <w:rsid w:val="6A387230"/>
    <w:rsid w:val="6A617707"/>
    <w:rsid w:val="6A657B3D"/>
    <w:rsid w:val="6A7E36C6"/>
    <w:rsid w:val="6A886720"/>
    <w:rsid w:val="6AB40496"/>
    <w:rsid w:val="6ABD1D5E"/>
    <w:rsid w:val="6AC0289E"/>
    <w:rsid w:val="6AF33939"/>
    <w:rsid w:val="6B0F60AF"/>
    <w:rsid w:val="6B187BD5"/>
    <w:rsid w:val="6B3332E4"/>
    <w:rsid w:val="6B795D62"/>
    <w:rsid w:val="6B894EA4"/>
    <w:rsid w:val="6B981EF4"/>
    <w:rsid w:val="6BC747F5"/>
    <w:rsid w:val="6BD35CE4"/>
    <w:rsid w:val="6BD907B5"/>
    <w:rsid w:val="6BF1529E"/>
    <w:rsid w:val="6BF66D35"/>
    <w:rsid w:val="6C0848CC"/>
    <w:rsid w:val="6C1272FC"/>
    <w:rsid w:val="6C3014BE"/>
    <w:rsid w:val="6C38001D"/>
    <w:rsid w:val="6C5D414F"/>
    <w:rsid w:val="6C77423E"/>
    <w:rsid w:val="6C9C2F85"/>
    <w:rsid w:val="6C9D6944"/>
    <w:rsid w:val="6CDE17FD"/>
    <w:rsid w:val="6CF21452"/>
    <w:rsid w:val="6D0136C9"/>
    <w:rsid w:val="6D183F55"/>
    <w:rsid w:val="6D1D2C91"/>
    <w:rsid w:val="6D232D3C"/>
    <w:rsid w:val="6D2F5D1E"/>
    <w:rsid w:val="6D5B4A2E"/>
    <w:rsid w:val="6D792112"/>
    <w:rsid w:val="6DA004EB"/>
    <w:rsid w:val="6DB37EDF"/>
    <w:rsid w:val="6DE309B5"/>
    <w:rsid w:val="6E560F06"/>
    <w:rsid w:val="6E641038"/>
    <w:rsid w:val="6E73666A"/>
    <w:rsid w:val="6E770EFC"/>
    <w:rsid w:val="6E79212F"/>
    <w:rsid w:val="6EB36C33"/>
    <w:rsid w:val="6EBD0EA6"/>
    <w:rsid w:val="6EBF38BA"/>
    <w:rsid w:val="6F2E7208"/>
    <w:rsid w:val="6F435405"/>
    <w:rsid w:val="6F4810D8"/>
    <w:rsid w:val="6F6D2BAA"/>
    <w:rsid w:val="6F7C3054"/>
    <w:rsid w:val="6F9A4A47"/>
    <w:rsid w:val="6FDC792B"/>
    <w:rsid w:val="701310D6"/>
    <w:rsid w:val="701710D0"/>
    <w:rsid w:val="702520EE"/>
    <w:rsid w:val="703777AC"/>
    <w:rsid w:val="70795456"/>
    <w:rsid w:val="707E2BAC"/>
    <w:rsid w:val="709946EC"/>
    <w:rsid w:val="70AD7C3A"/>
    <w:rsid w:val="70FF4497"/>
    <w:rsid w:val="724D262A"/>
    <w:rsid w:val="7259146E"/>
    <w:rsid w:val="72702455"/>
    <w:rsid w:val="728F2E47"/>
    <w:rsid w:val="72973011"/>
    <w:rsid w:val="72CD6505"/>
    <w:rsid w:val="72E25592"/>
    <w:rsid w:val="72E42D1B"/>
    <w:rsid w:val="72EA2DD0"/>
    <w:rsid w:val="730C52E1"/>
    <w:rsid w:val="734F0911"/>
    <w:rsid w:val="736054C4"/>
    <w:rsid w:val="736C572D"/>
    <w:rsid w:val="73A422EB"/>
    <w:rsid w:val="73C80EF6"/>
    <w:rsid w:val="73D74043"/>
    <w:rsid w:val="73E67F55"/>
    <w:rsid w:val="74103E55"/>
    <w:rsid w:val="74456E15"/>
    <w:rsid w:val="745B622A"/>
    <w:rsid w:val="74BA4486"/>
    <w:rsid w:val="74EC726F"/>
    <w:rsid w:val="75225AF0"/>
    <w:rsid w:val="753E2D2E"/>
    <w:rsid w:val="753F2F7D"/>
    <w:rsid w:val="75A744DB"/>
    <w:rsid w:val="75CD0955"/>
    <w:rsid w:val="75DB13A5"/>
    <w:rsid w:val="75E552E3"/>
    <w:rsid w:val="76190159"/>
    <w:rsid w:val="76346E4E"/>
    <w:rsid w:val="7648538B"/>
    <w:rsid w:val="76531223"/>
    <w:rsid w:val="76640645"/>
    <w:rsid w:val="767E47F6"/>
    <w:rsid w:val="7692158A"/>
    <w:rsid w:val="76B4391D"/>
    <w:rsid w:val="76BD747C"/>
    <w:rsid w:val="76CD52EB"/>
    <w:rsid w:val="76FE004A"/>
    <w:rsid w:val="77090644"/>
    <w:rsid w:val="77A268F6"/>
    <w:rsid w:val="77A519A7"/>
    <w:rsid w:val="77B415CE"/>
    <w:rsid w:val="77CC3658"/>
    <w:rsid w:val="77E26A35"/>
    <w:rsid w:val="780F54C3"/>
    <w:rsid w:val="782C6CF7"/>
    <w:rsid w:val="78557FA3"/>
    <w:rsid w:val="78644FBF"/>
    <w:rsid w:val="78680ECD"/>
    <w:rsid w:val="78702B66"/>
    <w:rsid w:val="787F150D"/>
    <w:rsid w:val="787F4828"/>
    <w:rsid w:val="7880670B"/>
    <w:rsid w:val="789B60E9"/>
    <w:rsid w:val="78EE7F5B"/>
    <w:rsid w:val="78F11CE1"/>
    <w:rsid w:val="78F66955"/>
    <w:rsid w:val="79053EDA"/>
    <w:rsid w:val="79097264"/>
    <w:rsid w:val="791D3993"/>
    <w:rsid w:val="79202162"/>
    <w:rsid w:val="7924138B"/>
    <w:rsid w:val="792B2C95"/>
    <w:rsid w:val="79432371"/>
    <w:rsid w:val="79537777"/>
    <w:rsid w:val="79826449"/>
    <w:rsid w:val="79A23631"/>
    <w:rsid w:val="79B751C6"/>
    <w:rsid w:val="79BC4873"/>
    <w:rsid w:val="79D339B9"/>
    <w:rsid w:val="7A006295"/>
    <w:rsid w:val="7A196FEC"/>
    <w:rsid w:val="7A200C95"/>
    <w:rsid w:val="7A4E7F1C"/>
    <w:rsid w:val="7A531881"/>
    <w:rsid w:val="7A594332"/>
    <w:rsid w:val="7A5B0BA8"/>
    <w:rsid w:val="7A8564DB"/>
    <w:rsid w:val="7A946C2F"/>
    <w:rsid w:val="7A9A559C"/>
    <w:rsid w:val="7AB76752"/>
    <w:rsid w:val="7AB935F2"/>
    <w:rsid w:val="7AC22B97"/>
    <w:rsid w:val="7ACD6F24"/>
    <w:rsid w:val="7AF6556E"/>
    <w:rsid w:val="7B1F77A4"/>
    <w:rsid w:val="7B292799"/>
    <w:rsid w:val="7B3F5420"/>
    <w:rsid w:val="7BCF2874"/>
    <w:rsid w:val="7C0471A6"/>
    <w:rsid w:val="7C090682"/>
    <w:rsid w:val="7C27141B"/>
    <w:rsid w:val="7C42064D"/>
    <w:rsid w:val="7C6A2BF6"/>
    <w:rsid w:val="7C6A6CA8"/>
    <w:rsid w:val="7CB31FBB"/>
    <w:rsid w:val="7CD14D58"/>
    <w:rsid w:val="7CEC5EE7"/>
    <w:rsid w:val="7CF04E00"/>
    <w:rsid w:val="7D0A3342"/>
    <w:rsid w:val="7D41026F"/>
    <w:rsid w:val="7D59343F"/>
    <w:rsid w:val="7D67119E"/>
    <w:rsid w:val="7D6C098F"/>
    <w:rsid w:val="7DA65D72"/>
    <w:rsid w:val="7DE06940"/>
    <w:rsid w:val="7DE208A3"/>
    <w:rsid w:val="7DFE7906"/>
    <w:rsid w:val="7E0A78B3"/>
    <w:rsid w:val="7E2912F3"/>
    <w:rsid w:val="7E3A5F03"/>
    <w:rsid w:val="7E6305EF"/>
    <w:rsid w:val="7E792540"/>
    <w:rsid w:val="7E8D50F9"/>
    <w:rsid w:val="7EBA6AA6"/>
    <w:rsid w:val="7ED713AA"/>
    <w:rsid w:val="7EDA5201"/>
    <w:rsid w:val="7EEE63E6"/>
    <w:rsid w:val="7F541664"/>
    <w:rsid w:val="7F5737FE"/>
    <w:rsid w:val="7F697999"/>
    <w:rsid w:val="7F9026D0"/>
    <w:rsid w:val="7F984417"/>
    <w:rsid w:val="7FDB730C"/>
    <w:rsid w:val="7FDC7239"/>
    <w:rsid w:val="7FE41A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9"/>
    <w:pPr>
      <w:spacing w:beforeAutospacing="1" w:afterAutospacing="1"/>
      <w:jc w:val="left"/>
      <w:outlineLvl w:val="2"/>
    </w:pPr>
    <w:rPr>
      <w:rFonts w:hint="eastAsia" w:ascii="宋体" w:hAnsi="宋体"/>
      <w:b/>
      <w:kern w:val="0"/>
      <w:sz w:val="27"/>
      <w:szCs w:val="27"/>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37"/>
    </w:pPr>
    <w:rPr>
      <w:rFonts w:ascii="宋体" w:hAnsi="宋体"/>
      <w:sz w:val="20"/>
    </w:rPr>
  </w:style>
  <w:style w:type="paragraph" w:styleId="4">
    <w:name w:val="annotation text"/>
    <w:basedOn w:val="1"/>
    <w:link w:val="23"/>
    <w:semiHidden/>
    <w:unhideWhenUsed/>
    <w:qFormat/>
    <w:uiPriority w:val="99"/>
    <w:pPr>
      <w:jc w:val="left"/>
    </w:pPr>
  </w:style>
  <w:style w:type="paragraph" w:styleId="5">
    <w:name w:val="Body Text Indent"/>
    <w:basedOn w:val="1"/>
    <w:qFormat/>
    <w:uiPriority w:val="0"/>
    <w:pPr>
      <w:ind w:left="420" w:firstLine="744"/>
    </w:pPr>
    <w:rPr>
      <w:rFonts w:ascii="宋体" w:hAnsi="宋体"/>
      <w:szCs w:val="24"/>
    </w:r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spacing w:before="240" w:after="60"/>
      <w:jc w:val="center"/>
      <w:outlineLvl w:val="0"/>
    </w:pPr>
    <w:rPr>
      <w:rFonts w:ascii="Cambria" w:hAnsi="Cambria"/>
      <w:b/>
      <w:bCs/>
      <w:sz w:val="32"/>
      <w:szCs w:val="32"/>
    </w:rPr>
  </w:style>
  <w:style w:type="paragraph" w:styleId="10">
    <w:name w:val="annotation subject"/>
    <w:basedOn w:val="4"/>
    <w:next w:val="4"/>
    <w:link w:val="24"/>
    <w:semiHidden/>
    <w:unhideWhenUsed/>
    <w:qFormat/>
    <w:uiPriority w:val="99"/>
    <w:rPr>
      <w:b/>
      <w:bCs/>
    </w:rPr>
  </w:style>
  <w:style w:type="paragraph" w:styleId="11">
    <w:name w:val="Body Text First Indent 2"/>
    <w:basedOn w:val="5"/>
    <w:unhideWhenUsed/>
    <w:qFormat/>
    <w:uiPriority w:val="99"/>
    <w:pPr>
      <w:tabs>
        <w:tab w:val="left" w:pos="540"/>
      </w:tabs>
      <w:ind w:firstLine="420" w:firstLineChars="200"/>
    </w:p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99"/>
    <w:rPr>
      <w:sz w:val="21"/>
      <w:szCs w:val="21"/>
    </w:rPr>
  </w:style>
  <w:style w:type="character" w:customStyle="1" w:styleId="16">
    <w:name w:val="页眉 字符"/>
    <w:basedOn w:val="14"/>
    <w:link w:val="8"/>
    <w:qFormat/>
    <w:uiPriority w:val="99"/>
    <w:rPr>
      <w:rFonts w:ascii="Times New Roman" w:hAnsi="Times New Roman" w:eastAsia="宋体" w:cs="Times New Roman"/>
      <w:sz w:val="18"/>
      <w:szCs w:val="18"/>
    </w:rPr>
  </w:style>
  <w:style w:type="character" w:customStyle="1" w:styleId="17">
    <w:name w:val="页脚 字符"/>
    <w:basedOn w:val="14"/>
    <w:link w:val="7"/>
    <w:qFormat/>
    <w:uiPriority w:val="99"/>
    <w:rPr>
      <w:rFonts w:ascii="Times New Roman" w:hAnsi="Times New Roman" w:eastAsia="宋体" w:cs="Times New Roman"/>
      <w:sz w:val="18"/>
      <w:szCs w:val="18"/>
    </w:rPr>
  </w:style>
  <w:style w:type="character" w:customStyle="1" w:styleId="18">
    <w:name w:val="批注框文本 字符"/>
    <w:basedOn w:val="14"/>
    <w:link w:val="6"/>
    <w:semiHidden/>
    <w:qFormat/>
    <w:uiPriority w:val="99"/>
    <w:rPr>
      <w:rFonts w:ascii="Times New Roman" w:hAnsi="Times New Roman" w:eastAsia="宋体" w:cs="Times New Roman"/>
      <w:sz w:val="18"/>
      <w:szCs w:val="18"/>
    </w:rPr>
  </w:style>
  <w:style w:type="character" w:customStyle="1" w:styleId="19">
    <w:name w:val="Char Char1"/>
    <w:qFormat/>
    <w:locked/>
    <w:uiPriority w:val="0"/>
    <w:rPr>
      <w:rFonts w:hint="eastAsia" w:ascii="宋体" w:hAnsi="Courier New" w:eastAsia="宋体"/>
      <w:kern w:val="2"/>
      <w:sz w:val="21"/>
      <w:lang w:val="en-US" w:eastAsia="zh-CN" w:bidi="ar-SA"/>
    </w:rPr>
  </w:style>
  <w:style w:type="paragraph" w:customStyle="1" w:styleId="20">
    <w:name w:val="Body text|1"/>
    <w:basedOn w:val="1"/>
    <w:qFormat/>
    <w:uiPriority w:val="0"/>
    <w:pPr>
      <w:spacing w:after="80"/>
    </w:pPr>
    <w:rPr>
      <w:rFonts w:ascii="MingLiU" w:hAnsi="MingLiU" w:eastAsia="MingLiU" w:cs="MingLiU"/>
      <w:sz w:val="20"/>
      <w:lang w:val="zh-TW" w:eastAsia="zh-TW" w:bidi="zh-TW"/>
    </w:rPr>
  </w:style>
  <w:style w:type="paragraph" w:customStyle="1" w:styleId="21">
    <w:name w:val="Header 9pt Table Centered"/>
    <w:basedOn w:val="1"/>
    <w:qFormat/>
    <w:uiPriority w:val="0"/>
    <w:pPr>
      <w:spacing w:before="40" w:after="40"/>
      <w:jc w:val="center"/>
    </w:pPr>
    <w:rPr>
      <w:rFonts w:ascii="Arial" w:hAnsi="Arial" w:cs="Arial"/>
      <w:b/>
      <w:bCs/>
      <w:snapToGrid w:val="0"/>
      <w:kern w:val="0"/>
      <w:sz w:val="18"/>
      <w:szCs w:val="18"/>
      <w:lang w:val="de-DE" w:eastAsia="de-DE"/>
    </w:rPr>
  </w:style>
  <w:style w:type="paragraph" w:styleId="22">
    <w:name w:val="List Paragraph"/>
    <w:basedOn w:val="1"/>
    <w:qFormat/>
    <w:uiPriority w:val="99"/>
    <w:pPr>
      <w:ind w:firstLine="420" w:firstLineChars="200"/>
    </w:pPr>
  </w:style>
  <w:style w:type="character" w:customStyle="1" w:styleId="23">
    <w:name w:val="批注文字 字符"/>
    <w:basedOn w:val="14"/>
    <w:link w:val="4"/>
    <w:semiHidden/>
    <w:qFormat/>
    <w:uiPriority w:val="99"/>
    <w:rPr>
      <w:kern w:val="2"/>
      <w:sz w:val="21"/>
    </w:rPr>
  </w:style>
  <w:style w:type="character" w:customStyle="1" w:styleId="24">
    <w:name w:val="批注主题 字符"/>
    <w:basedOn w:val="23"/>
    <w:link w:val="10"/>
    <w:semiHidden/>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AEF0FB-3F1D-4427-B2ED-4FAAC25D169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19</Pages>
  <Words>1882</Words>
  <Characters>10729</Characters>
  <Lines>89</Lines>
  <Paragraphs>25</Paragraphs>
  <TotalTime>112</TotalTime>
  <ScaleCrop>false</ScaleCrop>
  <LinksUpToDate>false</LinksUpToDate>
  <CharactersWithSpaces>12586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2021-03-10T09:57:00Z</dcterms:created>
  <dc:creator>微软用户</dc:creator>
  <cp:lastModifiedBy>肖新龙</cp:lastModifiedBy>
  <dcterms:modified xsi:type="dcterms:W3CDTF">2022-11-10T02:36:14Z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64852FA3FEDF4F71AAFA67ED25A1739C</vt:lpwstr>
  </property>
</Properties>
</file>